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b/>
          <w:bCs/>
          <w:sz w:val="28"/>
          <w:szCs w:val="28"/>
        </w:rPr>
      </w:pPr>
    </w:p>
    <w:p>
      <w:pPr>
        <w:spacing w:line="360" w:lineRule="auto"/>
        <w:jc w:val="center"/>
        <w:rPr>
          <w:rFonts w:ascii="仿宋" w:hAnsi="仿宋" w:eastAsia="仿宋"/>
          <w:b/>
          <w:bCs/>
          <w:sz w:val="28"/>
          <w:szCs w:val="28"/>
        </w:rPr>
      </w:pPr>
    </w:p>
    <w:p>
      <w:pPr>
        <w:spacing w:line="360" w:lineRule="auto"/>
        <w:jc w:val="center"/>
        <w:rPr>
          <w:rFonts w:ascii="仿宋" w:hAnsi="仿宋" w:eastAsia="仿宋"/>
          <w:b/>
          <w:bCs/>
          <w:sz w:val="28"/>
          <w:szCs w:val="28"/>
        </w:rPr>
      </w:pPr>
    </w:p>
    <w:p>
      <w:pPr>
        <w:spacing w:line="360" w:lineRule="auto"/>
        <w:jc w:val="center"/>
        <w:rPr>
          <w:rFonts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CESI黑体-GB2312" w:hAnsi="CESI黑体-GB2312" w:eastAsia="CESI黑体-GB2312" w:cs="CESI黑体-GB2312"/>
          <w:sz w:val="44"/>
          <w:szCs w:val="44"/>
        </w:rPr>
      </w:pPr>
      <w:r>
        <w:rPr>
          <w:rFonts w:hint="eastAsia" w:ascii="CESI黑体-GB2312" w:hAnsi="CESI黑体-GB2312" w:eastAsia="CESI黑体-GB2312" w:cs="CESI黑体-GB2312"/>
          <w:sz w:val="44"/>
          <w:szCs w:val="44"/>
        </w:rPr>
        <w:t>聊城市“十四五”金融业发展规划</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CESI黑体-GB2312" w:hAnsi="CESI黑体-GB2312" w:eastAsia="CESI黑体-GB2312" w:cs="CESI黑体-GB2312"/>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CESI楷体-GB2312" w:hAnsi="CESI楷体-GB2312" w:eastAsia="CESI楷体-GB2312" w:cs="CESI楷体-GB2312"/>
          <w:sz w:val="32"/>
          <w:szCs w:val="32"/>
        </w:rPr>
      </w:pPr>
      <w:r>
        <w:rPr>
          <w:rFonts w:hint="eastAsia" w:ascii="CESI楷体-GB2312" w:hAnsi="CESI楷体-GB2312" w:eastAsia="CESI楷体-GB2312" w:cs="CESI楷体-GB2312"/>
          <w:sz w:val="32"/>
          <w:szCs w:val="32"/>
        </w:rPr>
        <w:t>（征求意见稿）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CESI楷体-GB2312" w:hAnsi="CESI楷体-GB2312" w:eastAsia="CESI楷体-GB2312" w:cs="CESI楷体-GB2312"/>
          <w:sz w:val="32"/>
          <w:szCs w:val="32"/>
        </w:rPr>
      </w:pPr>
      <w:r>
        <w:rPr>
          <w:rFonts w:hint="eastAsia" w:ascii="CESI楷体-GB2312" w:hAnsi="CESI楷体-GB2312" w:eastAsia="CESI楷体-GB2312" w:cs="CESI楷体-GB2312"/>
          <w:sz w:val="32"/>
          <w:szCs w:val="32"/>
        </w:rPr>
        <w:t>聊城市地方金融监督管理局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CESI楷体-GB2312" w:hAnsi="CESI楷体-GB2312" w:eastAsia="CESI楷体-GB2312" w:cs="CESI楷体-GB2312"/>
          <w:sz w:val="32"/>
          <w:szCs w:val="32"/>
        </w:rPr>
      </w:pPr>
      <w:r>
        <w:rPr>
          <w:rFonts w:hint="eastAsia" w:ascii="CESI楷体-GB2312" w:hAnsi="CESI楷体-GB2312" w:eastAsia="CESI楷体-GB2312" w:cs="CESI楷体-GB2312"/>
          <w:sz w:val="32"/>
          <w:szCs w:val="32"/>
        </w:rPr>
        <w:t>202</w:t>
      </w:r>
      <w:r>
        <w:rPr>
          <w:rFonts w:hint="eastAsia" w:ascii="CESI楷体-GB2312" w:hAnsi="CESI楷体-GB2312" w:eastAsia="CESI楷体-GB2312" w:cs="CESI楷体-GB2312"/>
          <w:sz w:val="32"/>
          <w:szCs w:val="32"/>
          <w:lang w:val="en-US" w:eastAsia="zh-CN"/>
        </w:rPr>
        <w:t>2</w:t>
      </w:r>
      <w:r>
        <w:rPr>
          <w:rFonts w:hint="eastAsia" w:ascii="CESI楷体-GB2312" w:hAnsi="CESI楷体-GB2312" w:eastAsia="CESI楷体-GB2312" w:cs="CESI楷体-GB2312"/>
          <w:sz w:val="32"/>
          <w:szCs w:val="32"/>
        </w:rPr>
        <w:t>年</w:t>
      </w:r>
      <w:r>
        <w:rPr>
          <w:rFonts w:hint="eastAsia" w:ascii="CESI楷体-GB2312" w:hAnsi="CESI楷体-GB2312" w:eastAsia="CESI楷体-GB2312" w:cs="CESI楷体-GB2312"/>
          <w:sz w:val="32"/>
          <w:szCs w:val="32"/>
          <w:lang w:val="en-US" w:eastAsia="zh-CN"/>
        </w:rPr>
        <w:t>2</w:t>
      </w:r>
      <w:r>
        <w:rPr>
          <w:rFonts w:hint="eastAsia" w:ascii="CESI楷体-GB2312" w:hAnsi="CESI楷体-GB2312" w:eastAsia="CESI楷体-GB2312" w:cs="CESI楷体-GB2312"/>
          <w:sz w:val="32"/>
          <w:szCs w:val="32"/>
        </w:rPr>
        <w:t>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b/>
          <w:bCs/>
          <w:sz w:val="28"/>
          <w:szCs w:val="28"/>
        </w:rPr>
        <w:sectPr>
          <w:headerReference r:id="rId4" w:type="first"/>
          <w:footerReference r:id="rId7" w:type="first"/>
          <w:footerReference r:id="rId5" w:type="default"/>
          <w:headerReference r:id="rId3" w:type="even"/>
          <w:footerReference r:id="rId6" w:type="even"/>
          <w:pgSz w:w="11900" w:h="16840"/>
          <w:pgMar w:top="1440" w:right="1800" w:bottom="1440" w:left="1800" w:header="851" w:footer="992" w:gutter="0"/>
          <w:pgNumType w:start="1"/>
          <w:cols w:space="425" w:num="1"/>
          <w:docGrid w:type="lines" w:linePitch="312" w:charSpace="0"/>
        </w:sectPr>
      </w:pPr>
    </w:p>
    <w:sdt>
      <w:sdtPr>
        <w:rPr>
          <w:rFonts w:ascii="宋体" w:hAnsi="宋体" w:eastAsia="宋体" w:cstheme="minorBidi"/>
          <w:kern w:val="2"/>
          <w:sz w:val="21"/>
          <w:szCs w:val="24"/>
          <w:lang w:val="en-US" w:eastAsia="zh-CN" w:bidi="ar-SA"/>
        </w:rPr>
        <w:id w:val="351071153"/>
        <w:docPartObj>
          <w:docPartGallery w:val="Table of Contents"/>
          <w:docPartUnique/>
        </w:docPartObj>
      </w:sdtPr>
      <w:sdtEndPr>
        <w:rPr>
          <w:rFonts w:ascii="Times New Roman" w:hAnsi="Times New Roman" w:eastAsia="宋体" w:cs="Times New Roman"/>
          <w:b w:val="0"/>
          <w:bCs w:val="0"/>
          <w:kern w:val="2"/>
          <w:sz w:val="28"/>
          <w:szCs w:val="28"/>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CESI黑体-GB2312"/>
              <w:b/>
              <w:bCs/>
              <w:kern w:val="0"/>
              <w:sz w:val="28"/>
              <w:szCs w:val="28"/>
            </w:rPr>
          </w:pPr>
          <w:bookmarkStart w:id="0" w:name="_Toc349845763_WPSOffice_Type2"/>
          <w:r>
            <w:rPr>
              <w:rFonts w:hint="eastAsia" w:ascii="黑体" w:hAnsi="黑体" w:eastAsia="黑体" w:cs="CESI黑体-GB2312"/>
              <w:b/>
              <w:bCs/>
              <w:kern w:val="0"/>
              <w:sz w:val="28"/>
              <w:szCs w:val="28"/>
            </w:rPr>
            <w:t>目录</w:t>
          </w:r>
        </w:p>
        <w:p>
          <w:pPr>
            <w:pStyle w:val="39"/>
            <w:tabs>
              <w:tab w:val="right" w:leader="dot" w:pos="8300"/>
            </w:tabs>
            <w:rPr>
              <w:b w:val="0"/>
              <w:bCs w:val="0"/>
              <w:sz w:val="28"/>
              <w:szCs w:val="28"/>
            </w:rPr>
          </w:pPr>
          <w:r>
            <w:rPr>
              <w:b w:val="0"/>
              <w:bCs w:val="0"/>
              <w:sz w:val="28"/>
              <w:szCs w:val="28"/>
            </w:rPr>
            <w:fldChar w:fldCharType="begin"/>
          </w:r>
          <w:r>
            <w:rPr>
              <w:b w:val="0"/>
              <w:bCs w:val="0"/>
              <w:sz w:val="28"/>
              <w:szCs w:val="28"/>
            </w:rPr>
            <w:instrText xml:space="preserve"> HYPERLINK \l _Toc849758390_WPSOffice_Level1 </w:instrText>
          </w:r>
          <w:r>
            <w:rPr>
              <w:b w:val="0"/>
              <w:bCs w:val="0"/>
              <w:sz w:val="28"/>
              <w:szCs w:val="28"/>
            </w:rPr>
            <w:fldChar w:fldCharType="separate"/>
          </w:r>
          <w:sdt>
            <w:sdtPr>
              <w:rPr>
                <w:rFonts w:eastAsia="SimSun-ExtB" w:asciiTheme="minorHAnsi" w:hAnsiTheme="minorHAnsi" w:cstheme="minorBidi"/>
                <w:b w:val="0"/>
                <w:bCs w:val="0"/>
                <w:kern w:val="44"/>
                <w:sz w:val="28"/>
                <w:szCs w:val="28"/>
                <w:lang w:val="en-US" w:eastAsia="zh-CN" w:bidi="ar-SA"/>
              </w:rPr>
              <w:id w:val="351071153"/>
              <w:placeholder>
                <w:docPart w:val="{5245fdea-09f2-4e1a-b41c-282b93347a15}"/>
              </w:placeholder>
            </w:sdtPr>
            <w:sdtEndPr>
              <w:rPr>
                <w:rFonts w:hint="eastAsia" w:ascii="黑体" w:hAnsi="黑体" w:eastAsia="黑体" w:cs="CESI黑体-GB2312"/>
                <w:b w:val="0"/>
                <w:bCs w:val="0"/>
                <w:kern w:val="44"/>
                <w:sz w:val="28"/>
                <w:szCs w:val="28"/>
                <w:lang w:val="en-US" w:eastAsia="zh-CN" w:bidi="ar-SA"/>
              </w:rPr>
            </w:sdtEndPr>
            <w:sdtContent>
              <w:r>
                <w:rPr>
                  <w:rFonts w:hint="eastAsia" w:ascii="黑体" w:hAnsi="黑体" w:eastAsia="黑体" w:cs="CESI黑体-GB2312"/>
                  <w:b w:val="0"/>
                  <w:bCs w:val="0"/>
                  <w:sz w:val="28"/>
                  <w:szCs w:val="28"/>
                </w:rPr>
                <w:t>第一部分 聊城市金融业发展基础和环境</w:t>
              </w:r>
            </w:sdtContent>
          </w:sdt>
          <w:r>
            <w:rPr>
              <w:b w:val="0"/>
              <w:bCs w:val="0"/>
              <w:sz w:val="28"/>
              <w:szCs w:val="28"/>
            </w:rPr>
            <w:tab/>
          </w:r>
          <w:bookmarkStart w:id="1" w:name="_Toc849758390_WPSOffice_Level1Page"/>
          <w:r>
            <w:rPr>
              <w:b w:val="0"/>
              <w:bCs w:val="0"/>
              <w:sz w:val="28"/>
              <w:szCs w:val="28"/>
            </w:rPr>
            <w:t>1</w:t>
          </w:r>
          <w:bookmarkEnd w:id="1"/>
          <w:r>
            <w:rPr>
              <w:b w:val="0"/>
              <w:bCs w:val="0"/>
              <w:sz w:val="28"/>
              <w:szCs w:val="28"/>
            </w:rPr>
            <w:fldChar w:fldCharType="end"/>
          </w:r>
        </w:p>
        <w:p>
          <w:pPr>
            <w:pStyle w:val="40"/>
            <w:tabs>
              <w:tab w:val="right" w:leader="dot" w:pos="8300"/>
            </w:tabs>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HYPERLINK \l _Toc349845763_WPSOffice_Level2 </w:instrText>
          </w:r>
          <w:r>
            <w:rPr>
              <w:rFonts w:hint="eastAsia" w:ascii="CESI仿宋-GB2312" w:hAnsi="CESI仿宋-GB2312" w:eastAsia="CESI仿宋-GB2312" w:cs="CESI仿宋-GB2312"/>
              <w:sz w:val="28"/>
              <w:szCs w:val="28"/>
            </w:rPr>
            <w:fldChar w:fldCharType="separate"/>
          </w:r>
          <w:sdt>
            <w:sdtPr>
              <w:rPr>
                <w:rFonts w:hint="eastAsia" w:ascii="CESI仿宋-GB2312" w:hAnsi="CESI仿宋-GB2312" w:eastAsia="CESI仿宋-GB2312" w:cs="CESI仿宋-GB2312"/>
                <w:sz w:val="28"/>
                <w:szCs w:val="28"/>
                <w:lang w:val="en-US" w:eastAsia="zh-CN"/>
              </w:rPr>
              <w:id w:val="351071153"/>
              <w:placeholder>
                <w:docPart w:val="{addca61e-5c57-479e-9a23-2c2f1f7fb867}"/>
              </w:placeholder>
            </w:sdtPr>
            <w:sdtEndPr>
              <w:rPr>
                <w:rFonts w:hint="eastAsia" w:ascii="CESI仿宋-GB2312" w:hAnsi="CESI仿宋-GB2312" w:eastAsia="CESI仿宋-GB2312" w:cs="CESI仿宋-GB2312"/>
                <w:sz w:val="28"/>
                <w:szCs w:val="28"/>
                <w:lang w:val="en-US" w:eastAsia="zh-CN"/>
              </w:rPr>
            </w:sdtEndPr>
            <w:sdtContent>
              <w:r>
                <w:rPr>
                  <w:rFonts w:hint="eastAsia" w:ascii="CESI仿宋-GB2312" w:hAnsi="CESI仿宋-GB2312" w:eastAsia="CESI仿宋-GB2312" w:cs="CESI仿宋-GB2312"/>
                  <w:sz w:val="28"/>
                  <w:szCs w:val="28"/>
                </w:rPr>
                <w:t>第一节 “十三五”时期金融业发展回顾</w:t>
              </w:r>
            </w:sdtContent>
          </w:sdt>
          <w:r>
            <w:rPr>
              <w:rFonts w:hint="eastAsia" w:ascii="CESI仿宋-GB2312" w:hAnsi="CESI仿宋-GB2312" w:eastAsia="CESI仿宋-GB2312" w:cs="CESI仿宋-GB2312"/>
              <w:sz w:val="28"/>
              <w:szCs w:val="28"/>
            </w:rPr>
            <w:tab/>
          </w:r>
          <w:bookmarkStart w:id="2" w:name="_Toc349845763_WPSOffice_Level2Page"/>
          <w:r>
            <w:rPr>
              <w:rFonts w:hint="eastAsia" w:ascii="CESI仿宋-GB2312" w:hAnsi="CESI仿宋-GB2312" w:eastAsia="CESI仿宋-GB2312" w:cs="CESI仿宋-GB2312"/>
              <w:sz w:val="28"/>
              <w:szCs w:val="28"/>
            </w:rPr>
            <w:t>1</w:t>
          </w:r>
          <w:bookmarkEnd w:id="2"/>
          <w:r>
            <w:rPr>
              <w:rFonts w:hint="eastAsia" w:ascii="CESI仿宋-GB2312" w:hAnsi="CESI仿宋-GB2312" w:eastAsia="CESI仿宋-GB2312" w:cs="CESI仿宋-GB2312"/>
              <w:sz w:val="28"/>
              <w:szCs w:val="28"/>
            </w:rPr>
            <w:fldChar w:fldCharType="end"/>
          </w:r>
        </w:p>
        <w:p>
          <w:pPr>
            <w:pStyle w:val="40"/>
            <w:tabs>
              <w:tab w:val="right" w:leader="dot" w:pos="8300"/>
            </w:tabs>
            <w:rPr>
              <w:b w:val="0"/>
              <w:bCs w:val="0"/>
              <w:sz w:val="28"/>
              <w:szCs w:val="28"/>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HYPERLINK \l _Toc1985298521_WPSOffice_Level2 </w:instrText>
          </w:r>
          <w:r>
            <w:rPr>
              <w:rFonts w:hint="eastAsia" w:ascii="CESI仿宋-GB2312" w:hAnsi="CESI仿宋-GB2312" w:eastAsia="CESI仿宋-GB2312" w:cs="CESI仿宋-GB2312"/>
              <w:sz w:val="28"/>
              <w:szCs w:val="28"/>
            </w:rPr>
            <w:fldChar w:fldCharType="separate"/>
          </w:r>
          <w:sdt>
            <w:sdtPr>
              <w:rPr>
                <w:rFonts w:hint="eastAsia" w:ascii="CESI仿宋-GB2312" w:hAnsi="CESI仿宋-GB2312" w:eastAsia="CESI仿宋-GB2312" w:cs="CESI仿宋-GB2312"/>
                <w:sz w:val="28"/>
                <w:szCs w:val="28"/>
                <w:lang w:val="en-US" w:eastAsia="zh-CN"/>
              </w:rPr>
              <w:id w:val="351071153"/>
              <w:placeholder>
                <w:docPart w:val="{467d08bb-86c3-42ff-9d96-fddb6fc4fc08}"/>
              </w:placeholder>
            </w:sdtPr>
            <w:sdtEndPr>
              <w:rPr>
                <w:rFonts w:hint="eastAsia" w:ascii="CESI仿宋-GB2312" w:hAnsi="CESI仿宋-GB2312" w:eastAsia="CESI仿宋-GB2312" w:cs="CESI仿宋-GB2312"/>
                <w:sz w:val="28"/>
                <w:szCs w:val="28"/>
                <w:lang w:val="en-US" w:eastAsia="zh-CN"/>
              </w:rPr>
            </w:sdtEndPr>
            <w:sdtContent>
              <w:r>
                <w:rPr>
                  <w:rFonts w:hint="eastAsia" w:ascii="CESI仿宋-GB2312" w:hAnsi="CESI仿宋-GB2312" w:eastAsia="CESI仿宋-GB2312" w:cs="CESI仿宋-GB2312"/>
                  <w:sz w:val="28"/>
                  <w:szCs w:val="28"/>
                </w:rPr>
                <w:t>第二节 “十四五”时期面临的形势</w:t>
              </w:r>
            </w:sdtContent>
          </w:sdt>
          <w:r>
            <w:rPr>
              <w:rFonts w:hint="eastAsia" w:ascii="CESI仿宋-GB2312" w:hAnsi="CESI仿宋-GB2312" w:eastAsia="CESI仿宋-GB2312" w:cs="CESI仿宋-GB2312"/>
              <w:sz w:val="28"/>
              <w:szCs w:val="28"/>
            </w:rPr>
            <w:tab/>
          </w:r>
          <w:bookmarkStart w:id="3" w:name="_Toc1985298521_WPSOffice_Level2Page"/>
          <w:r>
            <w:rPr>
              <w:rFonts w:hint="eastAsia" w:ascii="CESI仿宋-GB2312" w:hAnsi="CESI仿宋-GB2312" w:eastAsia="CESI仿宋-GB2312" w:cs="CESI仿宋-GB2312"/>
              <w:sz w:val="28"/>
              <w:szCs w:val="28"/>
            </w:rPr>
            <w:t>5</w:t>
          </w:r>
          <w:bookmarkEnd w:id="3"/>
          <w:r>
            <w:rPr>
              <w:rFonts w:hint="eastAsia" w:ascii="CESI仿宋-GB2312" w:hAnsi="CESI仿宋-GB2312" w:eastAsia="CESI仿宋-GB2312" w:cs="CESI仿宋-GB2312"/>
              <w:sz w:val="28"/>
              <w:szCs w:val="28"/>
            </w:rPr>
            <w:fldChar w:fldCharType="end"/>
          </w:r>
        </w:p>
        <w:p>
          <w:pPr>
            <w:pStyle w:val="39"/>
            <w:tabs>
              <w:tab w:val="right" w:leader="dot" w:pos="8300"/>
            </w:tabs>
            <w:rPr>
              <w:b w:val="0"/>
              <w:bCs w:val="0"/>
              <w:sz w:val="28"/>
              <w:szCs w:val="28"/>
            </w:rPr>
          </w:pPr>
          <w:r>
            <w:rPr>
              <w:b w:val="0"/>
              <w:bCs w:val="0"/>
              <w:sz w:val="28"/>
              <w:szCs w:val="28"/>
            </w:rPr>
            <w:fldChar w:fldCharType="begin"/>
          </w:r>
          <w:r>
            <w:rPr>
              <w:b w:val="0"/>
              <w:bCs w:val="0"/>
              <w:sz w:val="28"/>
              <w:szCs w:val="28"/>
            </w:rPr>
            <w:instrText xml:space="preserve"> HYPERLINK \l _Toc349845763_WPSOffice_Level1 </w:instrText>
          </w:r>
          <w:r>
            <w:rPr>
              <w:b w:val="0"/>
              <w:bCs w:val="0"/>
              <w:sz w:val="28"/>
              <w:szCs w:val="28"/>
            </w:rPr>
            <w:fldChar w:fldCharType="separate"/>
          </w:r>
          <w:sdt>
            <w:sdtPr>
              <w:rPr>
                <w:rFonts w:eastAsia="SimSun-ExtB" w:asciiTheme="minorHAnsi" w:hAnsiTheme="minorHAnsi" w:cstheme="minorBidi"/>
                <w:b w:val="0"/>
                <w:bCs w:val="0"/>
                <w:kern w:val="44"/>
                <w:sz w:val="28"/>
                <w:szCs w:val="28"/>
                <w:lang w:val="en-US" w:eastAsia="zh-CN" w:bidi="ar-SA"/>
              </w:rPr>
              <w:id w:val="351071153"/>
              <w:placeholder>
                <w:docPart w:val="{66b7e53f-60fa-4be0-8b77-41c6c45d21da}"/>
              </w:placeholder>
            </w:sdtPr>
            <w:sdtEndPr>
              <w:rPr>
                <w:rFonts w:hint="eastAsia" w:ascii="黑体" w:hAnsi="黑体" w:eastAsia="黑体" w:cs="CESI黑体-GB2312"/>
                <w:b w:val="0"/>
                <w:bCs w:val="0"/>
                <w:kern w:val="44"/>
                <w:sz w:val="28"/>
                <w:szCs w:val="28"/>
                <w:lang w:val="en-US" w:eastAsia="zh-CN" w:bidi="ar-SA"/>
              </w:rPr>
            </w:sdtEndPr>
            <w:sdtContent>
              <w:r>
                <w:rPr>
                  <w:rFonts w:hint="eastAsia" w:ascii="黑体" w:hAnsi="黑体" w:eastAsia="黑体" w:cs="CESI黑体-GB2312"/>
                  <w:b w:val="0"/>
                  <w:bCs w:val="0"/>
                  <w:sz w:val="28"/>
                  <w:szCs w:val="28"/>
                </w:rPr>
                <w:t>第二部分  “十四五”时期金融业发展指导思想、工作原则和总体目标</w:t>
              </w:r>
            </w:sdtContent>
          </w:sdt>
          <w:r>
            <w:rPr>
              <w:b w:val="0"/>
              <w:bCs w:val="0"/>
              <w:sz w:val="28"/>
              <w:szCs w:val="28"/>
            </w:rPr>
            <w:tab/>
          </w:r>
          <w:bookmarkStart w:id="4" w:name="_Toc349845763_WPSOffice_Level1Page"/>
          <w:r>
            <w:rPr>
              <w:b w:val="0"/>
              <w:bCs w:val="0"/>
              <w:sz w:val="28"/>
              <w:szCs w:val="28"/>
            </w:rPr>
            <w:t>10</w:t>
          </w:r>
          <w:bookmarkEnd w:id="4"/>
          <w:r>
            <w:rPr>
              <w:b w:val="0"/>
              <w:bCs w:val="0"/>
              <w:sz w:val="28"/>
              <w:szCs w:val="28"/>
            </w:rPr>
            <w:fldChar w:fldCharType="end"/>
          </w:r>
        </w:p>
        <w:p>
          <w:pPr>
            <w:pStyle w:val="40"/>
            <w:tabs>
              <w:tab w:val="right" w:leader="dot" w:pos="8300"/>
            </w:tabs>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HYPERLINK \l _Toc885333632_WPSOffice_Level2 </w:instrText>
          </w:r>
          <w:r>
            <w:rPr>
              <w:rFonts w:hint="eastAsia" w:ascii="CESI仿宋-GB2312" w:hAnsi="CESI仿宋-GB2312" w:eastAsia="CESI仿宋-GB2312" w:cs="CESI仿宋-GB2312"/>
              <w:sz w:val="28"/>
              <w:szCs w:val="28"/>
            </w:rPr>
            <w:fldChar w:fldCharType="separate"/>
          </w:r>
          <w:sdt>
            <w:sdtPr>
              <w:rPr>
                <w:rFonts w:hint="eastAsia" w:ascii="CESI仿宋-GB2312" w:hAnsi="CESI仿宋-GB2312" w:eastAsia="CESI仿宋-GB2312" w:cs="CESI仿宋-GB2312"/>
                <w:sz w:val="28"/>
                <w:szCs w:val="28"/>
                <w:lang w:val="en-US" w:eastAsia="zh-CN"/>
              </w:rPr>
              <w:id w:val="351071153"/>
              <w:placeholder>
                <w:docPart w:val="{2b7f1481-8460-4b40-afb7-c690eb7a07fc}"/>
              </w:placeholder>
            </w:sdtPr>
            <w:sdtEndPr>
              <w:rPr>
                <w:rFonts w:hint="eastAsia" w:ascii="CESI仿宋-GB2312" w:hAnsi="CESI仿宋-GB2312" w:eastAsia="CESI仿宋-GB2312" w:cs="CESI仿宋-GB2312"/>
                <w:sz w:val="28"/>
                <w:szCs w:val="28"/>
                <w:lang w:val="en-US" w:eastAsia="zh-CN"/>
              </w:rPr>
            </w:sdtEndPr>
            <w:sdtContent>
              <w:r>
                <w:rPr>
                  <w:rFonts w:hint="eastAsia" w:ascii="CESI仿宋-GB2312" w:hAnsi="CESI仿宋-GB2312" w:eastAsia="CESI仿宋-GB2312" w:cs="CESI仿宋-GB2312"/>
                  <w:sz w:val="28"/>
                  <w:szCs w:val="28"/>
                </w:rPr>
                <w:t>第一节 指导思想</w:t>
              </w:r>
            </w:sdtContent>
          </w:sdt>
          <w:r>
            <w:rPr>
              <w:rFonts w:hint="eastAsia" w:ascii="CESI仿宋-GB2312" w:hAnsi="CESI仿宋-GB2312" w:eastAsia="CESI仿宋-GB2312" w:cs="CESI仿宋-GB2312"/>
              <w:sz w:val="28"/>
              <w:szCs w:val="28"/>
            </w:rPr>
            <w:tab/>
          </w:r>
          <w:bookmarkStart w:id="5" w:name="_Toc885333632_WPSOffice_Level2Page"/>
          <w:r>
            <w:rPr>
              <w:rFonts w:hint="eastAsia" w:ascii="CESI仿宋-GB2312" w:hAnsi="CESI仿宋-GB2312" w:eastAsia="CESI仿宋-GB2312" w:cs="CESI仿宋-GB2312"/>
              <w:sz w:val="28"/>
              <w:szCs w:val="28"/>
            </w:rPr>
            <w:t>10</w:t>
          </w:r>
          <w:bookmarkEnd w:id="5"/>
          <w:r>
            <w:rPr>
              <w:rFonts w:hint="eastAsia" w:ascii="CESI仿宋-GB2312" w:hAnsi="CESI仿宋-GB2312" w:eastAsia="CESI仿宋-GB2312" w:cs="CESI仿宋-GB2312"/>
              <w:sz w:val="28"/>
              <w:szCs w:val="28"/>
            </w:rPr>
            <w:fldChar w:fldCharType="end"/>
          </w:r>
        </w:p>
        <w:p>
          <w:pPr>
            <w:pStyle w:val="40"/>
            <w:tabs>
              <w:tab w:val="right" w:leader="dot" w:pos="8300"/>
            </w:tabs>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HYPERLINK \l _Toc2017530698_WPSOffice_Level2 </w:instrText>
          </w:r>
          <w:r>
            <w:rPr>
              <w:rFonts w:hint="eastAsia" w:ascii="CESI仿宋-GB2312" w:hAnsi="CESI仿宋-GB2312" w:eastAsia="CESI仿宋-GB2312" w:cs="CESI仿宋-GB2312"/>
              <w:sz w:val="28"/>
              <w:szCs w:val="28"/>
            </w:rPr>
            <w:fldChar w:fldCharType="separate"/>
          </w:r>
          <w:sdt>
            <w:sdtPr>
              <w:rPr>
                <w:rFonts w:hint="eastAsia" w:ascii="CESI仿宋-GB2312" w:hAnsi="CESI仿宋-GB2312" w:eastAsia="CESI仿宋-GB2312" w:cs="CESI仿宋-GB2312"/>
                <w:sz w:val="28"/>
                <w:szCs w:val="28"/>
                <w:lang w:val="en-US" w:eastAsia="zh-CN"/>
              </w:rPr>
              <w:id w:val="351071153"/>
              <w:placeholder>
                <w:docPart w:val="{a48aacfe-ed43-479f-96b3-d963d4496cba}"/>
              </w:placeholder>
            </w:sdtPr>
            <w:sdtEndPr>
              <w:rPr>
                <w:rFonts w:hint="eastAsia" w:ascii="CESI仿宋-GB2312" w:hAnsi="CESI仿宋-GB2312" w:eastAsia="CESI仿宋-GB2312" w:cs="CESI仿宋-GB2312"/>
                <w:sz w:val="28"/>
                <w:szCs w:val="28"/>
                <w:lang w:val="en-US" w:eastAsia="zh-CN"/>
              </w:rPr>
            </w:sdtEndPr>
            <w:sdtContent>
              <w:r>
                <w:rPr>
                  <w:rFonts w:hint="eastAsia" w:ascii="CESI仿宋-GB2312" w:hAnsi="CESI仿宋-GB2312" w:eastAsia="CESI仿宋-GB2312" w:cs="CESI仿宋-GB2312"/>
                  <w:sz w:val="28"/>
                  <w:szCs w:val="28"/>
                </w:rPr>
                <w:t>第二节 工作原则</w:t>
              </w:r>
            </w:sdtContent>
          </w:sdt>
          <w:r>
            <w:rPr>
              <w:rFonts w:hint="eastAsia" w:ascii="CESI仿宋-GB2312" w:hAnsi="CESI仿宋-GB2312" w:eastAsia="CESI仿宋-GB2312" w:cs="CESI仿宋-GB2312"/>
              <w:sz w:val="28"/>
              <w:szCs w:val="28"/>
            </w:rPr>
            <w:tab/>
          </w:r>
          <w:bookmarkStart w:id="6" w:name="_Toc2017530698_WPSOffice_Level2Page"/>
          <w:r>
            <w:rPr>
              <w:rFonts w:hint="eastAsia" w:ascii="CESI仿宋-GB2312" w:hAnsi="CESI仿宋-GB2312" w:eastAsia="CESI仿宋-GB2312" w:cs="CESI仿宋-GB2312"/>
              <w:sz w:val="28"/>
              <w:szCs w:val="28"/>
            </w:rPr>
            <w:t>10</w:t>
          </w:r>
          <w:bookmarkEnd w:id="6"/>
          <w:r>
            <w:rPr>
              <w:rFonts w:hint="eastAsia" w:ascii="CESI仿宋-GB2312" w:hAnsi="CESI仿宋-GB2312" w:eastAsia="CESI仿宋-GB2312" w:cs="CESI仿宋-GB2312"/>
              <w:sz w:val="28"/>
              <w:szCs w:val="28"/>
            </w:rPr>
            <w:fldChar w:fldCharType="end"/>
          </w:r>
        </w:p>
        <w:p>
          <w:pPr>
            <w:pStyle w:val="40"/>
            <w:tabs>
              <w:tab w:val="right" w:leader="dot" w:pos="8300"/>
            </w:tabs>
            <w:rPr>
              <w:b w:val="0"/>
              <w:bCs w:val="0"/>
              <w:sz w:val="28"/>
              <w:szCs w:val="28"/>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HYPERLINK \l _Toc1719679573_WPSOffice_Level2 </w:instrText>
          </w:r>
          <w:r>
            <w:rPr>
              <w:rFonts w:hint="eastAsia" w:ascii="CESI仿宋-GB2312" w:hAnsi="CESI仿宋-GB2312" w:eastAsia="CESI仿宋-GB2312" w:cs="CESI仿宋-GB2312"/>
              <w:sz w:val="28"/>
              <w:szCs w:val="28"/>
            </w:rPr>
            <w:fldChar w:fldCharType="separate"/>
          </w:r>
          <w:sdt>
            <w:sdtPr>
              <w:rPr>
                <w:rFonts w:hint="eastAsia" w:ascii="CESI仿宋-GB2312" w:hAnsi="CESI仿宋-GB2312" w:eastAsia="CESI仿宋-GB2312" w:cs="CESI仿宋-GB2312"/>
                <w:sz w:val="28"/>
                <w:szCs w:val="28"/>
                <w:lang w:val="en-US" w:eastAsia="zh-CN"/>
              </w:rPr>
              <w:id w:val="351071153"/>
              <w:placeholder>
                <w:docPart w:val="{c345734d-e1ce-417f-83e5-09485e48139b}"/>
              </w:placeholder>
            </w:sdtPr>
            <w:sdtEndPr>
              <w:rPr>
                <w:rFonts w:hint="eastAsia" w:ascii="CESI仿宋-GB2312" w:hAnsi="CESI仿宋-GB2312" w:eastAsia="CESI仿宋-GB2312" w:cs="CESI仿宋-GB2312"/>
                <w:sz w:val="28"/>
                <w:szCs w:val="28"/>
                <w:lang w:val="en-US" w:eastAsia="zh-CN"/>
              </w:rPr>
            </w:sdtEndPr>
            <w:sdtContent>
              <w:r>
                <w:rPr>
                  <w:rFonts w:hint="eastAsia" w:ascii="CESI仿宋-GB2312" w:hAnsi="CESI仿宋-GB2312" w:eastAsia="CESI仿宋-GB2312" w:cs="CESI仿宋-GB2312"/>
                  <w:sz w:val="28"/>
                  <w:szCs w:val="28"/>
                </w:rPr>
                <w:t>第三节 总体目标</w:t>
              </w:r>
            </w:sdtContent>
          </w:sdt>
          <w:r>
            <w:rPr>
              <w:rFonts w:hint="eastAsia" w:ascii="CESI仿宋-GB2312" w:hAnsi="CESI仿宋-GB2312" w:eastAsia="CESI仿宋-GB2312" w:cs="CESI仿宋-GB2312"/>
              <w:sz w:val="28"/>
              <w:szCs w:val="28"/>
            </w:rPr>
            <w:tab/>
          </w:r>
          <w:bookmarkStart w:id="7" w:name="_Toc1719679573_WPSOffice_Level2Page"/>
          <w:r>
            <w:rPr>
              <w:rFonts w:hint="eastAsia" w:ascii="CESI仿宋-GB2312" w:hAnsi="CESI仿宋-GB2312" w:eastAsia="CESI仿宋-GB2312" w:cs="CESI仿宋-GB2312"/>
              <w:sz w:val="28"/>
              <w:szCs w:val="28"/>
            </w:rPr>
            <w:t>12</w:t>
          </w:r>
          <w:bookmarkEnd w:id="7"/>
          <w:r>
            <w:rPr>
              <w:rFonts w:hint="eastAsia" w:ascii="CESI仿宋-GB2312" w:hAnsi="CESI仿宋-GB2312" w:eastAsia="CESI仿宋-GB2312" w:cs="CESI仿宋-GB2312"/>
              <w:sz w:val="28"/>
              <w:szCs w:val="28"/>
            </w:rPr>
            <w:fldChar w:fldCharType="end"/>
          </w:r>
        </w:p>
        <w:p>
          <w:pPr>
            <w:pStyle w:val="39"/>
            <w:tabs>
              <w:tab w:val="right" w:leader="dot" w:pos="8300"/>
            </w:tabs>
            <w:rPr>
              <w:b w:val="0"/>
              <w:bCs w:val="0"/>
              <w:sz w:val="28"/>
              <w:szCs w:val="28"/>
            </w:rPr>
          </w:pPr>
          <w:r>
            <w:rPr>
              <w:b w:val="0"/>
              <w:bCs w:val="0"/>
              <w:sz w:val="28"/>
              <w:szCs w:val="28"/>
            </w:rPr>
            <w:fldChar w:fldCharType="begin"/>
          </w:r>
          <w:r>
            <w:rPr>
              <w:b w:val="0"/>
              <w:bCs w:val="0"/>
              <w:sz w:val="28"/>
              <w:szCs w:val="28"/>
            </w:rPr>
            <w:instrText xml:space="preserve"> HYPERLINK \l _Toc1985298521_WPSOffice_Level1 </w:instrText>
          </w:r>
          <w:r>
            <w:rPr>
              <w:b w:val="0"/>
              <w:bCs w:val="0"/>
              <w:sz w:val="28"/>
              <w:szCs w:val="28"/>
            </w:rPr>
            <w:fldChar w:fldCharType="separate"/>
          </w:r>
          <w:sdt>
            <w:sdtPr>
              <w:rPr>
                <w:rFonts w:hint="eastAsia" w:ascii="黑体" w:hAnsi="黑体" w:eastAsia="黑体" w:cs="CESI黑体-GB2312"/>
                <w:b w:val="0"/>
                <w:bCs w:val="0"/>
                <w:sz w:val="28"/>
                <w:szCs w:val="28"/>
                <w:lang w:val="en-US" w:eastAsia="zh-CN"/>
              </w:rPr>
              <w:id w:val="351071153"/>
              <w:placeholder>
                <w:docPart w:val="{2faad110-6656-4466-8aa4-8c16dd3df638}"/>
              </w:placeholder>
            </w:sdtPr>
            <w:sdtEndPr>
              <w:rPr>
                <w:rFonts w:hint="eastAsia" w:ascii="黑体" w:hAnsi="黑体" w:eastAsia="黑体" w:cs="CESI黑体-GB2312"/>
                <w:b w:val="0"/>
                <w:bCs w:val="0"/>
                <w:sz w:val="28"/>
                <w:szCs w:val="28"/>
                <w:lang w:val="en-US" w:eastAsia="zh-CN"/>
              </w:rPr>
            </w:sdtEndPr>
            <w:sdtContent>
              <w:r>
                <w:rPr>
                  <w:rFonts w:hint="eastAsia" w:ascii="黑体" w:hAnsi="黑体" w:eastAsia="黑体" w:cs="CESI黑体-GB2312"/>
                  <w:b w:val="0"/>
                  <w:bCs w:val="0"/>
                  <w:sz w:val="28"/>
                  <w:szCs w:val="28"/>
                </w:rPr>
                <w:t xml:space="preserve">第三部分 </w:t>
              </w:r>
              <w:r>
                <w:rPr>
                  <w:rFonts w:hint="default" w:ascii="仿宋" w:hAnsi="仿宋" w:eastAsia="仿宋" w:cs="Times New Roman"/>
                  <w:b w:val="0"/>
                  <w:bCs w:val="0"/>
                  <w:sz w:val="28"/>
                  <w:szCs w:val="28"/>
                </w:rPr>
                <w:t xml:space="preserve"> </w:t>
              </w:r>
              <w:r>
                <w:rPr>
                  <w:rFonts w:hint="eastAsia" w:ascii="CESI黑体-GB2312" w:hAnsi="CESI黑体-GB2312" w:eastAsia="CESI黑体-GB2312" w:cs="CESI黑体-GB2312"/>
                  <w:b w:val="0"/>
                  <w:bCs w:val="0"/>
                  <w:sz w:val="28"/>
                  <w:szCs w:val="28"/>
                  <w:lang w:eastAsia="zh-CN"/>
                </w:rPr>
                <w:t>聚焦金融产业高质量发展</w:t>
              </w:r>
              <w:r>
                <w:rPr>
                  <w:rFonts w:hint="eastAsia" w:ascii="CESI黑体-GB2312" w:hAnsi="CESI黑体-GB2312" w:eastAsia="CESI黑体-GB2312" w:cs="CESI黑体-GB2312"/>
                  <w:b w:val="0"/>
                  <w:bCs w:val="0"/>
                  <w:sz w:val="28"/>
                  <w:szCs w:val="28"/>
                  <w:lang w:val="en-US" w:eastAsia="zh-CN"/>
                </w:rPr>
                <w:t xml:space="preserve"> </w:t>
              </w:r>
              <w:r>
                <w:rPr>
                  <w:rFonts w:hint="eastAsia" w:ascii="CESI黑体-GB2312" w:hAnsi="CESI黑体-GB2312" w:eastAsia="CESI黑体-GB2312" w:cs="CESI黑体-GB2312"/>
                  <w:b w:val="0"/>
                  <w:bCs w:val="0"/>
                  <w:sz w:val="28"/>
                  <w:szCs w:val="28"/>
                  <w:lang w:eastAsia="zh-CN"/>
                </w:rPr>
                <w:t>实施金融塑强工程</w:t>
              </w:r>
            </w:sdtContent>
          </w:sdt>
          <w:r>
            <w:rPr>
              <w:b w:val="0"/>
              <w:bCs w:val="0"/>
              <w:sz w:val="28"/>
              <w:szCs w:val="28"/>
            </w:rPr>
            <w:tab/>
          </w:r>
          <w:bookmarkStart w:id="8" w:name="_Toc1985298521_WPSOffice_Level1Page"/>
          <w:r>
            <w:rPr>
              <w:b w:val="0"/>
              <w:bCs w:val="0"/>
              <w:sz w:val="28"/>
              <w:szCs w:val="28"/>
            </w:rPr>
            <w:t>14</w:t>
          </w:r>
          <w:bookmarkEnd w:id="8"/>
          <w:r>
            <w:rPr>
              <w:b w:val="0"/>
              <w:bCs w:val="0"/>
              <w:sz w:val="28"/>
              <w:szCs w:val="28"/>
            </w:rPr>
            <w:fldChar w:fldCharType="end"/>
          </w:r>
        </w:p>
        <w:p>
          <w:pPr>
            <w:pStyle w:val="40"/>
            <w:tabs>
              <w:tab w:val="right" w:leader="dot" w:pos="8300"/>
            </w:tabs>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HYPERLINK \l _Toc1091508523_WPSOffice_Level2 </w:instrText>
          </w:r>
          <w:r>
            <w:rPr>
              <w:rFonts w:hint="eastAsia" w:ascii="CESI仿宋-GB2312" w:hAnsi="CESI仿宋-GB2312" w:eastAsia="CESI仿宋-GB2312" w:cs="CESI仿宋-GB2312"/>
              <w:sz w:val="28"/>
              <w:szCs w:val="28"/>
            </w:rPr>
            <w:fldChar w:fldCharType="separate"/>
          </w:r>
          <w:sdt>
            <w:sdtPr>
              <w:rPr>
                <w:rFonts w:hint="eastAsia" w:ascii="CESI仿宋-GB2312" w:hAnsi="CESI仿宋-GB2312" w:eastAsia="CESI仿宋-GB2312" w:cs="CESI仿宋-GB2312"/>
                <w:sz w:val="28"/>
                <w:szCs w:val="28"/>
                <w:lang w:val="en-US" w:eastAsia="zh-CN"/>
              </w:rPr>
              <w:id w:val="351071153"/>
              <w:placeholder>
                <w:docPart w:val="{81e5d9e7-bee0-41c6-8cba-b181a62a3912}"/>
              </w:placeholder>
            </w:sdtPr>
            <w:sdtEndPr>
              <w:rPr>
                <w:rFonts w:hint="eastAsia" w:ascii="CESI仿宋-GB2312" w:hAnsi="CESI仿宋-GB2312" w:eastAsia="CESI仿宋-GB2312" w:cs="CESI仿宋-GB2312"/>
                <w:sz w:val="28"/>
                <w:szCs w:val="28"/>
                <w:lang w:val="en-US" w:eastAsia="zh-CN"/>
              </w:rPr>
            </w:sdtEndPr>
            <w:sdtContent>
              <w:r>
                <w:rPr>
                  <w:rFonts w:hint="eastAsia" w:ascii="CESI仿宋-GB2312" w:hAnsi="CESI仿宋-GB2312" w:eastAsia="CESI仿宋-GB2312" w:cs="CESI仿宋-GB2312"/>
                  <w:sz w:val="28"/>
                  <w:szCs w:val="28"/>
                </w:rPr>
                <w:t>第一节 塑强地方金融组织体系</w:t>
              </w:r>
            </w:sdtContent>
          </w:sdt>
          <w:r>
            <w:rPr>
              <w:rFonts w:hint="eastAsia" w:ascii="CESI仿宋-GB2312" w:hAnsi="CESI仿宋-GB2312" w:eastAsia="CESI仿宋-GB2312" w:cs="CESI仿宋-GB2312"/>
              <w:sz w:val="28"/>
              <w:szCs w:val="28"/>
            </w:rPr>
            <w:tab/>
          </w:r>
          <w:bookmarkStart w:id="9" w:name="_Toc1091508523_WPSOffice_Level2Page"/>
          <w:r>
            <w:rPr>
              <w:rFonts w:hint="eastAsia" w:ascii="CESI仿宋-GB2312" w:hAnsi="CESI仿宋-GB2312" w:eastAsia="CESI仿宋-GB2312" w:cs="CESI仿宋-GB2312"/>
              <w:sz w:val="28"/>
              <w:szCs w:val="28"/>
            </w:rPr>
            <w:t>14</w:t>
          </w:r>
          <w:bookmarkEnd w:id="9"/>
          <w:r>
            <w:rPr>
              <w:rFonts w:hint="eastAsia" w:ascii="CESI仿宋-GB2312" w:hAnsi="CESI仿宋-GB2312" w:eastAsia="CESI仿宋-GB2312" w:cs="CESI仿宋-GB2312"/>
              <w:sz w:val="28"/>
              <w:szCs w:val="28"/>
            </w:rPr>
            <w:fldChar w:fldCharType="end"/>
          </w:r>
        </w:p>
        <w:p>
          <w:pPr>
            <w:pStyle w:val="40"/>
            <w:tabs>
              <w:tab w:val="right" w:leader="dot" w:pos="8300"/>
            </w:tabs>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HYPERLINK \l _Toc1367311564_WPSOffice_Level2 </w:instrText>
          </w:r>
          <w:r>
            <w:rPr>
              <w:rFonts w:hint="eastAsia" w:ascii="CESI仿宋-GB2312" w:hAnsi="CESI仿宋-GB2312" w:eastAsia="CESI仿宋-GB2312" w:cs="CESI仿宋-GB2312"/>
              <w:sz w:val="28"/>
              <w:szCs w:val="28"/>
            </w:rPr>
            <w:fldChar w:fldCharType="separate"/>
          </w:r>
          <w:sdt>
            <w:sdtPr>
              <w:rPr>
                <w:rFonts w:hint="eastAsia" w:ascii="CESI仿宋-GB2312" w:hAnsi="CESI仿宋-GB2312" w:eastAsia="CESI仿宋-GB2312" w:cs="CESI仿宋-GB2312"/>
                <w:sz w:val="28"/>
                <w:szCs w:val="28"/>
                <w:lang w:val="en-US" w:eastAsia="zh-CN"/>
              </w:rPr>
              <w:id w:val="351071153"/>
              <w:placeholder>
                <w:docPart w:val="{15f06498-6f9e-4577-80f1-9636beefa6bc}"/>
              </w:placeholder>
            </w:sdtPr>
            <w:sdtEndPr>
              <w:rPr>
                <w:rFonts w:hint="eastAsia" w:ascii="CESI仿宋-GB2312" w:hAnsi="CESI仿宋-GB2312" w:eastAsia="CESI仿宋-GB2312" w:cs="CESI仿宋-GB2312"/>
                <w:sz w:val="28"/>
                <w:szCs w:val="28"/>
                <w:lang w:val="en-US" w:eastAsia="zh-CN"/>
              </w:rPr>
            </w:sdtEndPr>
            <w:sdtContent>
              <w:r>
                <w:rPr>
                  <w:rFonts w:hint="eastAsia" w:ascii="CESI仿宋-GB2312" w:hAnsi="CESI仿宋-GB2312" w:eastAsia="CESI仿宋-GB2312" w:cs="CESI仿宋-GB2312"/>
                  <w:sz w:val="28"/>
                  <w:szCs w:val="28"/>
                </w:rPr>
                <w:t>第二节 塑强金融产业数字化能力</w:t>
              </w:r>
            </w:sdtContent>
          </w:sdt>
          <w:r>
            <w:rPr>
              <w:rFonts w:hint="eastAsia" w:ascii="CESI仿宋-GB2312" w:hAnsi="CESI仿宋-GB2312" w:eastAsia="CESI仿宋-GB2312" w:cs="CESI仿宋-GB2312"/>
              <w:sz w:val="28"/>
              <w:szCs w:val="28"/>
            </w:rPr>
            <w:tab/>
          </w:r>
          <w:bookmarkStart w:id="10" w:name="_Toc1367311564_WPSOffice_Level2Page"/>
          <w:r>
            <w:rPr>
              <w:rFonts w:hint="eastAsia" w:ascii="CESI仿宋-GB2312" w:hAnsi="CESI仿宋-GB2312" w:eastAsia="CESI仿宋-GB2312" w:cs="CESI仿宋-GB2312"/>
              <w:sz w:val="28"/>
              <w:szCs w:val="28"/>
            </w:rPr>
            <w:t>16</w:t>
          </w:r>
          <w:bookmarkEnd w:id="10"/>
          <w:r>
            <w:rPr>
              <w:rFonts w:hint="eastAsia" w:ascii="CESI仿宋-GB2312" w:hAnsi="CESI仿宋-GB2312" w:eastAsia="CESI仿宋-GB2312" w:cs="CESI仿宋-GB2312"/>
              <w:sz w:val="28"/>
              <w:szCs w:val="28"/>
            </w:rPr>
            <w:fldChar w:fldCharType="end"/>
          </w:r>
        </w:p>
        <w:p>
          <w:pPr>
            <w:pStyle w:val="40"/>
            <w:tabs>
              <w:tab w:val="right" w:leader="dot" w:pos="8300"/>
            </w:tabs>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HYPERLINK \l _Toc1312561593_WPSOffice_Level2 </w:instrText>
          </w:r>
          <w:r>
            <w:rPr>
              <w:rFonts w:hint="eastAsia" w:ascii="CESI仿宋-GB2312" w:hAnsi="CESI仿宋-GB2312" w:eastAsia="CESI仿宋-GB2312" w:cs="CESI仿宋-GB2312"/>
              <w:sz w:val="28"/>
              <w:szCs w:val="28"/>
            </w:rPr>
            <w:fldChar w:fldCharType="separate"/>
          </w:r>
          <w:sdt>
            <w:sdtPr>
              <w:rPr>
                <w:rFonts w:hint="eastAsia" w:ascii="CESI仿宋-GB2312" w:hAnsi="CESI仿宋-GB2312" w:eastAsia="CESI仿宋-GB2312" w:cs="CESI仿宋-GB2312"/>
                <w:sz w:val="28"/>
                <w:szCs w:val="28"/>
                <w:lang w:val="en-US" w:eastAsia="zh-CN"/>
              </w:rPr>
              <w:id w:val="351071153"/>
              <w:placeholder>
                <w:docPart w:val="{fa6c45be-1b41-48b7-b62d-ea5a85819001}"/>
              </w:placeholder>
            </w:sdtPr>
            <w:sdtEndPr>
              <w:rPr>
                <w:rFonts w:hint="eastAsia" w:ascii="CESI仿宋-GB2312" w:hAnsi="CESI仿宋-GB2312" w:eastAsia="CESI仿宋-GB2312" w:cs="CESI仿宋-GB2312"/>
                <w:sz w:val="28"/>
                <w:szCs w:val="28"/>
                <w:lang w:val="en-US" w:eastAsia="zh-CN"/>
              </w:rPr>
            </w:sdtEndPr>
            <w:sdtContent>
              <w:r>
                <w:rPr>
                  <w:rFonts w:hint="eastAsia" w:ascii="CESI仿宋-GB2312" w:hAnsi="CESI仿宋-GB2312" w:eastAsia="CESI仿宋-GB2312" w:cs="CESI仿宋-GB2312"/>
                  <w:sz w:val="28"/>
                  <w:szCs w:val="28"/>
                </w:rPr>
                <w:t>第三节 塑强直接融资功能</w:t>
              </w:r>
            </w:sdtContent>
          </w:sdt>
          <w:r>
            <w:rPr>
              <w:rFonts w:hint="eastAsia" w:ascii="CESI仿宋-GB2312" w:hAnsi="CESI仿宋-GB2312" w:eastAsia="CESI仿宋-GB2312" w:cs="CESI仿宋-GB2312"/>
              <w:sz w:val="28"/>
              <w:szCs w:val="28"/>
            </w:rPr>
            <w:tab/>
          </w:r>
          <w:bookmarkStart w:id="11" w:name="_Toc1312561593_WPSOffice_Level2Page"/>
          <w:r>
            <w:rPr>
              <w:rFonts w:hint="eastAsia" w:ascii="CESI仿宋-GB2312" w:hAnsi="CESI仿宋-GB2312" w:eastAsia="CESI仿宋-GB2312" w:cs="CESI仿宋-GB2312"/>
              <w:sz w:val="28"/>
              <w:szCs w:val="28"/>
            </w:rPr>
            <w:t>17</w:t>
          </w:r>
          <w:bookmarkEnd w:id="11"/>
          <w:r>
            <w:rPr>
              <w:rFonts w:hint="eastAsia" w:ascii="CESI仿宋-GB2312" w:hAnsi="CESI仿宋-GB2312" w:eastAsia="CESI仿宋-GB2312" w:cs="CESI仿宋-GB2312"/>
              <w:sz w:val="28"/>
              <w:szCs w:val="28"/>
            </w:rPr>
            <w:fldChar w:fldCharType="end"/>
          </w:r>
        </w:p>
        <w:p>
          <w:pPr>
            <w:pStyle w:val="40"/>
            <w:tabs>
              <w:tab w:val="right" w:leader="dot" w:pos="8300"/>
            </w:tabs>
            <w:rPr>
              <w:b w:val="0"/>
              <w:bCs w:val="0"/>
              <w:sz w:val="28"/>
              <w:szCs w:val="28"/>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HYPERLINK \l _Toc655425461_WPSOffice_Level2 </w:instrText>
          </w:r>
          <w:r>
            <w:rPr>
              <w:rFonts w:hint="eastAsia" w:ascii="CESI仿宋-GB2312" w:hAnsi="CESI仿宋-GB2312" w:eastAsia="CESI仿宋-GB2312" w:cs="CESI仿宋-GB2312"/>
              <w:sz w:val="28"/>
              <w:szCs w:val="28"/>
            </w:rPr>
            <w:fldChar w:fldCharType="separate"/>
          </w:r>
          <w:sdt>
            <w:sdtPr>
              <w:rPr>
                <w:rFonts w:hint="eastAsia" w:ascii="CESI仿宋-GB2312" w:hAnsi="CESI仿宋-GB2312" w:eastAsia="CESI仿宋-GB2312" w:cs="CESI仿宋-GB2312"/>
                <w:sz w:val="28"/>
                <w:szCs w:val="28"/>
                <w:lang w:val="en-US" w:eastAsia="zh-CN"/>
              </w:rPr>
              <w:id w:val="351071153"/>
              <w:placeholder>
                <w:docPart w:val="{f8b5fce0-cced-4d6f-a918-17a0928f77e9}"/>
              </w:placeholder>
            </w:sdtPr>
            <w:sdtEndPr>
              <w:rPr>
                <w:rFonts w:hint="eastAsia" w:ascii="CESI仿宋-GB2312" w:hAnsi="CESI仿宋-GB2312" w:eastAsia="CESI仿宋-GB2312" w:cs="CESI仿宋-GB2312"/>
                <w:sz w:val="28"/>
                <w:szCs w:val="28"/>
                <w:lang w:val="en-US" w:eastAsia="zh-CN"/>
              </w:rPr>
            </w:sdtEndPr>
            <w:sdtContent>
              <w:r>
                <w:rPr>
                  <w:rFonts w:hint="eastAsia" w:ascii="CESI仿宋-GB2312" w:hAnsi="CESI仿宋-GB2312" w:eastAsia="CESI仿宋-GB2312" w:cs="CESI仿宋-GB2312"/>
                  <w:sz w:val="28"/>
                  <w:szCs w:val="28"/>
                </w:rPr>
                <w:t>第四节 塑强地方金融改革品牌</w:t>
              </w:r>
            </w:sdtContent>
          </w:sdt>
          <w:r>
            <w:rPr>
              <w:rFonts w:hint="eastAsia" w:ascii="CESI仿宋-GB2312" w:hAnsi="CESI仿宋-GB2312" w:eastAsia="CESI仿宋-GB2312" w:cs="CESI仿宋-GB2312"/>
              <w:sz w:val="28"/>
              <w:szCs w:val="28"/>
            </w:rPr>
            <w:tab/>
          </w:r>
          <w:bookmarkStart w:id="12" w:name="_Toc655425461_WPSOffice_Level2Page"/>
          <w:r>
            <w:rPr>
              <w:rFonts w:hint="eastAsia" w:ascii="CESI仿宋-GB2312" w:hAnsi="CESI仿宋-GB2312" w:eastAsia="CESI仿宋-GB2312" w:cs="CESI仿宋-GB2312"/>
              <w:sz w:val="28"/>
              <w:szCs w:val="28"/>
            </w:rPr>
            <w:t>19</w:t>
          </w:r>
          <w:bookmarkEnd w:id="12"/>
          <w:r>
            <w:rPr>
              <w:rFonts w:hint="eastAsia" w:ascii="CESI仿宋-GB2312" w:hAnsi="CESI仿宋-GB2312" w:eastAsia="CESI仿宋-GB2312" w:cs="CESI仿宋-GB2312"/>
              <w:sz w:val="28"/>
              <w:szCs w:val="28"/>
            </w:rPr>
            <w:fldChar w:fldCharType="end"/>
          </w:r>
        </w:p>
        <w:p>
          <w:pPr>
            <w:pStyle w:val="39"/>
            <w:tabs>
              <w:tab w:val="right" w:leader="dot" w:pos="8300"/>
            </w:tabs>
            <w:rPr>
              <w:b w:val="0"/>
              <w:bCs w:val="0"/>
              <w:sz w:val="28"/>
              <w:szCs w:val="28"/>
            </w:rPr>
          </w:pPr>
          <w:r>
            <w:rPr>
              <w:b w:val="0"/>
              <w:bCs w:val="0"/>
              <w:sz w:val="28"/>
              <w:szCs w:val="28"/>
            </w:rPr>
            <w:fldChar w:fldCharType="begin"/>
          </w:r>
          <w:r>
            <w:rPr>
              <w:b w:val="0"/>
              <w:bCs w:val="0"/>
              <w:sz w:val="28"/>
              <w:szCs w:val="28"/>
            </w:rPr>
            <w:instrText xml:space="preserve"> HYPERLINK \l _Toc885333632_WPSOffice_Level1 </w:instrText>
          </w:r>
          <w:r>
            <w:rPr>
              <w:b w:val="0"/>
              <w:bCs w:val="0"/>
              <w:sz w:val="28"/>
              <w:szCs w:val="28"/>
            </w:rPr>
            <w:fldChar w:fldCharType="separate"/>
          </w:r>
          <w:sdt>
            <w:sdtPr>
              <w:rPr>
                <w:rFonts w:eastAsia="SimSun-ExtB" w:asciiTheme="minorHAnsi" w:hAnsiTheme="minorHAnsi" w:cstheme="minorBidi"/>
                <w:b w:val="0"/>
                <w:bCs w:val="0"/>
                <w:kern w:val="44"/>
                <w:sz w:val="28"/>
                <w:szCs w:val="28"/>
                <w:lang w:val="en-US" w:eastAsia="zh-CN" w:bidi="ar-SA"/>
              </w:rPr>
              <w:id w:val="351071153"/>
              <w:placeholder>
                <w:docPart w:val="{a6e762c1-4b0c-49c3-afd5-63a79718145b}"/>
              </w:placeholder>
            </w:sdtPr>
            <w:sdtEndPr>
              <w:rPr>
                <w:rFonts w:eastAsia="SimSun-ExtB" w:asciiTheme="minorHAnsi" w:hAnsiTheme="minorHAnsi" w:cstheme="minorBidi"/>
                <w:b w:val="0"/>
                <w:bCs w:val="0"/>
                <w:kern w:val="44"/>
                <w:sz w:val="28"/>
                <w:szCs w:val="28"/>
                <w:lang w:val="en-US" w:eastAsia="zh-CN" w:bidi="ar-SA"/>
              </w:rPr>
            </w:sdtEndPr>
            <w:sdtContent>
              <w:r>
                <w:rPr>
                  <w:rFonts w:hint="eastAsia" w:ascii="黑体" w:hAnsi="黑体" w:eastAsia="黑体" w:cs="CESI黑体-GB2312"/>
                  <w:b w:val="0"/>
                  <w:bCs w:val="0"/>
                  <w:sz w:val="28"/>
                  <w:szCs w:val="28"/>
                  <w:lang w:val="en-US" w:eastAsia="zh-CN"/>
                </w:rPr>
                <w:t>第四部分  聚焦区域高质量发展 实施金融赋能工程</w:t>
              </w:r>
            </w:sdtContent>
          </w:sdt>
          <w:r>
            <w:rPr>
              <w:b w:val="0"/>
              <w:bCs w:val="0"/>
              <w:sz w:val="28"/>
              <w:szCs w:val="28"/>
            </w:rPr>
            <w:tab/>
          </w:r>
          <w:bookmarkStart w:id="13" w:name="_Toc885333632_WPSOffice_Level1Page"/>
          <w:r>
            <w:rPr>
              <w:b w:val="0"/>
              <w:bCs w:val="0"/>
              <w:sz w:val="28"/>
              <w:szCs w:val="28"/>
            </w:rPr>
            <w:t>22</w:t>
          </w:r>
          <w:bookmarkEnd w:id="13"/>
          <w:r>
            <w:rPr>
              <w:b w:val="0"/>
              <w:bCs w:val="0"/>
              <w:sz w:val="28"/>
              <w:szCs w:val="28"/>
            </w:rPr>
            <w:fldChar w:fldCharType="end"/>
          </w:r>
        </w:p>
        <w:p>
          <w:pPr>
            <w:pStyle w:val="40"/>
            <w:tabs>
              <w:tab w:val="right" w:leader="dot" w:pos="8300"/>
            </w:tabs>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HYPERLINK \l _Toc518189128_WPSOffice_Level2 </w:instrText>
          </w:r>
          <w:r>
            <w:rPr>
              <w:rFonts w:hint="eastAsia" w:ascii="CESI仿宋-GB2312" w:hAnsi="CESI仿宋-GB2312" w:eastAsia="CESI仿宋-GB2312" w:cs="CESI仿宋-GB2312"/>
              <w:sz w:val="28"/>
              <w:szCs w:val="28"/>
            </w:rPr>
            <w:fldChar w:fldCharType="separate"/>
          </w:r>
          <w:sdt>
            <w:sdtPr>
              <w:rPr>
                <w:rFonts w:hint="eastAsia" w:ascii="CESI仿宋-GB2312" w:hAnsi="CESI仿宋-GB2312" w:eastAsia="CESI仿宋-GB2312" w:cs="CESI仿宋-GB2312"/>
                <w:sz w:val="28"/>
                <w:szCs w:val="28"/>
                <w:lang w:val="en-US" w:eastAsia="zh-CN"/>
              </w:rPr>
              <w:id w:val="351071153"/>
              <w:placeholder>
                <w:docPart w:val="{7e5e956a-194b-4cda-add1-6fafa2015135}"/>
              </w:placeholder>
            </w:sdtPr>
            <w:sdtEndPr>
              <w:rPr>
                <w:rFonts w:hint="eastAsia" w:ascii="CESI仿宋-GB2312" w:hAnsi="CESI仿宋-GB2312" w:eastAsia="CESI仿宋-GB2312" w:cs="CESI仿宋-GB2312"/>
                <w:sz w:val="28"/>
                <w:szCs w:val="28"/>
                <w:lang w:val="en-US" w:eastAsia="zh-CN"/>
              </w:rPr>
            </w:sdtEndPr>
            <w:sdtContent>
              <w:r>
                <w:rPr>
                  <w:rFonts w:hint="eastAsia" w:ascii="CESI仿宋-GB2312" w:hAnsi="CESI仿宋-GB2312" w:eastAsia="CESI仿宋-GB2312" w:cs="CESI仿宋-GB2312"/>
                  <w:sz w:val="28"/>
                  <w:szCs w:val="28"/>
                </w:rPr>
                <w:t>第一节 构建金融支持制造业发展新格局</w:t>
              </w:r>
            </w:sdtContent>
          </w:sdt>
          <w:r>
            <w:rPr>
              <w:rFonts w:hint="eastAsia" w:ascii="CESI仿宋-GB2312" w:hAnsi="CESI仿宋-GB2312" w:eastAsia="CESI仿宋-GB2312" w:cs="CESI仿宋-GB2312"/>
              <w:sz w:val="28"/>
              <w:szCs w:val="28"/>
            </w:rPr>
            <w:tab/>
          </w:r>
          <w:bookmarkStart w:id="14" w:name="_Toc518189128_WPSOffice_Level2Page"/>
          <w:r>
            <w:rPr>
              <w:rFonts w:hint="eastAsia" w:ascii="CESI仿宋-GB2312" w:hAnsi="CESI仿宋-GB2312" w:eastAsia="CESI仿宋-GB2312" w:cs="CESI仿宋-GB2312"/>
              <w:sz w:val="28"/>
              <w:szCs w:val="28"/>
            </w:rPr>
            <w:t>22</w:t>
          </w:r>
          <w:bookmarkEnd w:id="14"/>
          <w:r>
            <w:rPr>
              <w:rFonts w:hint="eastAsia" w:ascii="CESI仿宋-GB2312" w:hAnsi="CESI仿宋-GB2312" w:eastAsia="CESI仿宋-GB2312" w:cs="CESI仿宋-GB2312"/>
              <w:sz w:val="28"/>
              <w:szCs w:val="28"/>
            </w:rPr>
            <w:fldChar w:fldCharType="end"/>
          </w:r>
        </w:p>
        <w:p>
          <w:pPr>
            <w:pStyle w:val="40"/>
            <w:tabs>
              <w:tab w:val="right" w:leader="dot" w:pos="8300"/>
            </w:tabs>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HYPERLINK \l _Toc1830006441_WPSOffice_Level2 </w:instrText>
          </w:r>
          <w:r>
            <w:rPr>
              <w:rFonts w:hint="eastAsia" w:ascii="CESI仿宋-GB2312" w:hAnsi="CESI仿宋-GB2312" w:eastAsia="CESI仿宋-GB2312" w:cs="CESI仿宋-GB2312"/>
              <w:sz w:val="28"/>
              <w:szCs w:val="28"/>
            </w:rPr>
            <w:fldChar w:fldCharType="separate"/>
          </w:r>
          <w:sdt>
            <w:sdtPr>
              <w:rPr>
                <w:rFonts w:hint="eastAsia" w:ascii="CESI仿宋-GB2312" w:hAnsi="CESI仿宋-GB2312" w:eastAsia="CESI仿宋-GB2312" w:cs="CESI仿宋-GB2312"/>
                <w:sz w:val="28"/>
                <w:szCs w:val="28"/>
                <w:lang w:val="en-US" w:eastAsia="zh-CN"/>
              </w:rPr>
              <w:id w:val="351071153"/>
              <w:placeholder>
                <w:docPart w:val="{61874f07-b853-4b0d-a765-4de0a7b0adf7}"/>
              </w:placeholder>
            </w:sdtPr>
            <w:sdtEndPr>
              <w:rPr>
                <w:rFonts w:hint="eastAsia" w:ascii="CESI仿宋-GB2312" w:hAnsi="CESI仿宋-GB2312" w:eastAsia="CESI仿宋-GB2312" w:cs="CESI仿宋-GB2312"/>
                <w:sz w:val="28"/>
                <w:szCs w:val="28"/>
                <w:lang w:val="en-US" w:eastAsia="zh-CN"/>
              </w:rPr>
            </w:sdtEndPr>
            <w:sdtContent>
              <w:r>
                <w:rPr>
                  <w:rFonts w:hint="eastAsia" w:ascii="CESI仿宋-GB2312" w:hAnsi="CESI仿宋-GB2312" w:eastAsia="CESI仿宋-GB2312" w:cs="CESI仿宋-GB2312"/>
                  <w:sz w:val="28"/>
                  <w:szCs w:val="28"/>
                </w:rPr>
                <w:t>第二节 培育金融支持科创发展新动能</w:t>
              </w:r>
            </w:sdtContent>
          </w:sdt>
          <w:r>
            <w:rPr>
              <w:rFonts w:hint="eastAsia" w:ascii="CESI仿宋-GB2312" w:hAnsi="CESI仿宋-GB2312" w:eastAsia="CESI仿宋-GB2312" w:cs="CESI仿宋-GB2312"/>
              <w:sz w:val="28"/>
              <w:szCs w:val="28"/>
            </w:rPr>
            <w:tab/>
          </w:r>
          <w:bookmarkStart w:id="15" w:name="_Toc1830006441_WPSOffice_Level2Page"/>
          <w:r>
            <w:rPr>
              <w:rFonts w:hint="eastAsia" w:ascii="CESI仿宋-GB2312" w:hAnsi="CESI仿宋-GB2312" w:eastAsia="CESI仿宋-GB2312" w:cs="CESI仿宋-GB2312"/>
              <w:sz w:val="28"/>
              <w:szCs w:val="28"/>
            </w:rPr>
            <w:t>25</w:t>
          </w:r>
          <w:bookmarkEnd w:id="15"/>
          <w:r>
            <w:rPr>
              <w:rFonts w:hint="eastAsia" w:ascii="CESI仿宋-GB2312" w:hAnsi="CESI仿宋-GB2312" w:eastAsia="CESI仿宋-GB2312" w:cs="CESI仿宋-GB2312"/>
              <w:sz w:val="28"/>
              <w:szCs w:val="28"/>
            </w:rPr>
            <w:fldChar w:fldCharType="end"/>
          </w:r>
        </w:p>
        <w:p>
          <w:pPr>
            <w:pStyle w:val="40"/>
            <w:tabs>
              <w:tab w:val="right" w:leader="dot" w:pos="8300"/>
            </w:tabs>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HYPERLINK \l _Toc1974951631_WPSOffice_Level2 </w:instrText>
          </w:r>
          <w:r>
            <w:rPr>
              <w:rFonts w:hint="eastAsia" w:ascii="CESI仿宋-GB2312" w:hAnsi="CESI仿宋-GB2312" w:eastAsia="CESI仿宋-GB2312" w:cs="CESI仿宋-GB2312"/>
              <w:sz w:val="28"/>
              <w:szCs w:val="28"/>
            </w:rPr>
            <w:fldChar w:fldCharType="separate"/>
          </w:r>
          <w:sdt>
            <w:sdtPr>
              <w:rPr>
                <w:rFonts w:hint="eastAsia" w:ascii="CESI仿宋-GB2312" w:hAnsi="CESI仿宋-GB2312" w:eastAsia="CESI仿宋-GB2312" w:cs="CESI仿宋-GB2312"/>
                <w:sz w:val="28"/>
                <w:szCs w:val="28"/>
                <w:lang w:val="en-US" w:eastAsia="zh-CN"/>
              </w:rPr>
              <w:id w:val="351071153"/>
              <w:placeholder>
                <w:docPart w:val="{9c3a2b2c-4c71-435f-894a-487c9042f4cb}"/>
              </w:placeholder>
            </w:sdtPr>
            <w:sdtEndPr>
              <w:rPr>
                <w:rFonts w:hint="eastAsia" w:ascii="CESI仿宋-GB2312" w:hAnsi="CESI仿宋-GB2312" w:eastAsia="CESI仿宋-GB2312" w:cs="CESI仿宋-GB2312"/>
                <w:sz w:val="28"/>
                <w:szCs w:val="28"/>
                <w:lang w:val="en-US" w:eastAsia="zh-CN"/>
              </w:rPr>
            </w:sdtEndPr>
            <w:sdtContent>
              <w:r>
                <w:rPr>
                  <w:rFonts w:hint="eastAsia" w:ascii="CESI仿宋-GB2312" w:hAnsi="CESI仿宋-GB2312" w:eastAsia="CESI仿宋-GB2312" w:cs="CESI仿宋-GB2312"/>
                  <w:sz w:val="28"/>
                  <w:szCs w:val="28"/>
                </w:rPr>
                <w:t>第三节 建设金融支持乡村振兴新高地</w:t>
              </w:r>
            </w:sdtContent>
          </w:sdt>
          <w:r>
            <w:rPr>
              <w:rFonts w:hint="eastAsia" w:ascii="CESI仿宋-GB2312" w:hAnsi="CESI仿宋-GB2312" w:eastAsia="CESI仿宋-GB2312" w:cs="CESI仿宋-GB2312"/>
              <w:sz w:val="28"/>
              <w:szCs w:val="28"/>
            </w:rPr>
            <w:tab/>
          </w:r>
          <w:bookmarkStart w:id="16" w:name="_Toc1974951631_WPSOffice_Level2Page"/>
          <w:r>
            <w:rPr>
              <w:rFonts w:hint="eastAsia" w:ascii="CESI仿宋-GB2312" w:hAnsi="CESI仿宋-GB2312" w:eastAsia="CESI仿宋-GB2312" w:cs="CESI仿宋-GB2312"/>
              <w:sz w:val="28"/>
              <w:szCs w:val="28"/>
            </w:rPr>
            <w:t>26</w:t>
          </w:r>
          <w:bookmarkEnd w:id="16"/>
          <w:r>
            <w:rPr>
              <w:rFonts w:hint="eastAsia" w:ascii="CESI仿宋-GB2312" w:hAnsi="CESI仿宋-GB2312" w:eastAsia="CESI仿宋-GB2312" w:cs="CESI仿宋-GB2312"/>
              <w:sz w:val="28"/>
              <w:szCs w:val="28"/>
            </w:rPr>
            <w:fldChar w:fldCharType="end"/>
          </w:r>
        </w:p>
        <w:p>
          <w:pPr>
            <w:pStyle w:val="40"/>
            <w:tabs>
              <w:tab w:val="right" w:leader="dot" w:pos="8300"/>
            </w:tabs>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HYPERLINK \l _Toc1304114400_WPSOffice_Level2 </w:instrText>
          </w:r>
          <w:r>
            <w:rPr>
              <w:rFonts w:hint="eastAsia" w:ascii="CESI仿宋-GB2312" w:hAnsi="CESI仿宋-GB2312" w:eastAsia="CESI仿宋-GB2312" w:cs="CESI仿宋-GB2312"/>
              <w:sz w:val="28"/>
              <w:szCs w:val="28"/>
            </w:rPr>
            <w:fldChar w:fldCharType="separate"/>
          </w:r>
          <w:sdt>
            <w:sdtPr>
              <w:rPr>
                <w:rFonts w:hint="eastAsia" w:ascii="CESI仿宋-GB2312" w:hAnsi="CESI仿宋-GB2312" w:eastAsia="CESI仿宋-GB2312" w:cs="CESI仿宋-GB2312"/>
                <w:sz w:val="28"/>
                <w:szCs w:val="28"/>
                <w:lang w:val="en-US" w:eastAsia="zh-CN"/>
              </w:rPr>
              <w:id w:val="351071153"/>
              <w:placeholder>
                <w:docPart w:val="{c4cb4cf9-8f5d-411b-aad9-57703676dfca}"/>
              </w:placeholder>
            </w:sdtPr>
            <w:sdtEndPr>
              <w:rPr>
                <w:rFonts w:hint="eastAsia" w:ascii="CESI仿宋-GB2312" w:hAnsi="CESI仿宋-GB2312" w:eastAsia="CESI仿宋-GB2312" w:cs="CESI仿宋-GB2312"/>
                <w:sz w:val="28"/>
                <w:szCs w:val="28"/>
                <w:lang w:val="en-US" w:eastAsia="zh-CN"/>
              </w:rPr>
            </w:sdtEndPr>
            <w:sdtContent>
              <w:r>
                <w:rPr>
                  <w:rFonts w:hint="eastAsia" w:ascii="CESI仿宋-GB2312" w:hAnsi="CESI仿宋-GB2312" w:eastAsia="CESI仿宋-GB2312" w:cs="CESI仿宋-GB2312"/>
                  <w:sz w:val="28"/>
                  <w:szCs w:val="28"/>
                </w:rPr>
                <w:t>第四节 打造金融支持普惠小微服务新样板</w:t>
              </w:r>
            </w:sdtContent>
          </w:sdt>
          <w:r>
            <w:rPr>
              <w:rFonts w:hint="eastAsia" w:ascii="CESI仿宋-GB2312" w:hAnsi="CESI仿宋-GB2312" w:eastAsia="CESI仿宋-GB2312" w:cs="CESI仿宋-GB2312"/>
              <w:sz w:val="28"/>
              <w:szCs w:val="28"/>
            </w:rPr>
            <w:tab/>
          </w:r>
          <w:bookmarkStart w:id="17" w:name="_Toc1304114400_WPSOffice_Level2Page"/>
          <w:r>
            <w:rPr>
              <w:rFonts w:hint="eastAsia" w:ascii="CESI仿宋-GB2312" w:hAnsi="CESI仿宋-GB2312" w:eastAsia="CESI仿宋-GB2312" w:cs="CESI仿宋-GB2312"/>
              <w:sz w:val="28"/>
              <w:szCs w:val="28"/>
            </w:rPr>
            <w:t>28</w:t>
          </w:r>
          <w:bookmarkEnd w:id="17"/>
          <w:r>
            <w:rPr>
              <w:rFonts w:hint="eastAsia" w:ascii="CESI仿宋-GB2312" w:hAnsi="CESI仿宋-GB2312" w:eastAsia="CESI仿宋-GB2312" w:cs="CESI仿宋-GB2312"/>
              <w:sz w:val="28"/>
              <w:szCs w:val="28"/>
            </w:rPr>
            <w:fldChar w:fldCharType="end"/>
          </w:r>
        </w:p>
        <w:p>
          <w:pPr>
            <w:pStyle w:val="40"/>
            <w:tabs>
              <w:tab w:val="right" w:leader="dot" w:pos="8300"/>
            </w:tabs>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HYPERLINK \l _Toc1918491131_WPSOffice_Level2 </w:instrText>
          </w:r>
          <w:r>
            <w:rPr>
              <w:rFonts w:hint="eastAsia" w:ascii="CESI仿宋-GB2312" w:hAnsi="CESI仿宋-GB2312" w:eastAsia="CESI仿宋-GB2312" w:cs="CESI仿宋-GB2312"/>
              <w:sz w:val="28"/>
              <w:szCs w:val="28"/>
            </w:rPr>
            <w:fldChar w:fldCharType="separate"/>
          </w:r>
          <w:sdt>
            <w:sdtPr>
              <w:rPr>
                <w:rFonts w:hint="eastAsia" w:ascii="CESI仿宋-GB2312" w:hAnsi="CESI仿宋-GB2312" w:eastAsia="CESI仿宋-GB2312" w:cs="CESI仿宋-GB2312"/>
                <w:sz w:val="28"/>
                <w:szCs w:val="28"/>
                <w:lang w:val="en-US" w:eastAsia="zh-CN"/>
              </w:rPr>
              <w:id w:val="351071153"/>
              <w:placeholder>
                <w:docPart w:val="{8f4c342e-507d-4628-9dbd-2ea8130424ed}"/>
              </w:placeholder>
            </w:sdtPr>
            <w:sdtEndPr>
              <w:rPr>
                <w:rFonts w:hint="eastAsia" w:ascii="CESI仿宋-GB2312" w:hAnsi="CESI仿宋-GB2312" w:eastAsia="CESI仿宋-GB2312" w:cs="CESI仿宋-GB2312"/>
                <w:sz w:val="28"/>
                <w:szCs w:val="28"/>
                <w:lang w:val="en-US" w:eastAsia="zh-CN"/>
              </w:rPr>
            </w:sdtEndPr>
            <w:sdtContent>
              <w:r>
                <w:rPr>
                  <w:rFonts w:hint="eastAsia" w:ascii="CESI仿宋-GB2312" w:hAnsi="CESI仿宋-GB2312" w:eastAsia="CESI仿宋-GB2312" w:cs="CESI仿宋-GB2312"/>
                  <w:sz w:val="28"/>
                  <w:szCs w:val="28"/>
                </w:rPr>
                <w:t>第五节 推进“双碳目标下”绿色金融新实践</w:t>
              </w:r>
            </w:sdtContent>
          </w:sdt>
          <w:r>
            <w:rPr>
              <w:rFonts w:hint="eastAsia" w:ascii="CESI仿宋-GB2312" w:hAnsi="CESI仿宋-GB2312" w:eastAsia="CESI仿宋-GB2312" w:cs="CESI仿宋-GB2312"/>
              <w:sz w:val="28"/>
              <w:szCs w:val="28"/>
            </w:rPr>
            <w:tab/>
          </w:r>
          <w:bookmarkStart w:id="18" w:name="_Toc1918491131_WPSOffice_Level2Page"/>
          <w:r>
            <w:rPr>
              <w:rFonts w:hint="eastAsia" w:ascii="CESI仿宋-GB2312" w:hAnsi="CESI仿宋-GB2312" w:eastAsia="CESI仿宋-GB2312" w:cs="CESI仿宋-GB2312"/>
              <w:sz w:val="28"/>
              <w:szCs w:val="28"/>
            </w:rPr>
            <w:t>31</w:t>
          </w:r>
          <w:bookmarkEnd w:id="18"/>
          <w:r>
            <w:rPr>
              <w:rFonts w:hint="eastAsia" w:ascii="CESI仿宋-GB2312" w:hAnsi="CESI仿宋-GB2312" w:eastAsia="CESI仿宋-GB2312" w:cs="CESI仿宋-GB2312"/>
              <w:sz w:val="28"/>
              <w:szCs w:val="28"/>
            </w:rPr>
            <w:fldChar w:fldCharType="end"/>
          </w:r>
        </w:p>
        <w:p>
          <w:pPr>
            <w:pStyle w:val="40"/>
            <w:tabs>
              <w:tab w:val="right" w:leader="dot" w:pos="8300"/>
            </w:tabs>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HYPERLINK \l _Toc209895767_WPSOffice_Level2 </w:instrText>
          </w:r>
          <w:r>
            <w:rPr>
              <w:rFonts w:hint="eastAsia" w:ascii="CESI仿宋-GB2312" w:hAnsi="CESI仿宋-GB2312" w:eastAsia="CESI仿宋-GB2312" w:cs="CESI仿宋-GB2312"/>
              <w:sz w:val="28"/>
              <w:szCs w:val="28"/>
            </w:rPr>
            <w:fldChar w:fldCharType="separate"/>
          </w:r>
          <w:sdt>
            <w:sdtPr>
              <w:rPr>
                <w:rFonts w:hint="eastAsia" w:ascii="CESI仿宋-GB2312" w:hAnsi="CESI仿宋-GB2312" w:eastAsia="CESI仿宋-GB2312" w:cs="CESI仿宋-GB2312"/>
                <w:sz w:val="28"/>
                <w:szCs w:val="28"/>
                <w:lang w:val="en-US" w:eastAsia="zh-CN"/>
              </w:rPr>
              <w:id w:val="351071153"/>
              <w:placeholder>
                <w:docPart w:val="{5e4131b1-7ded-4a4b-a4de-3c35634c7ef9}"/>
              </w:placeholder>
            </w:sdtPr>
            <w:sdtEndPr>
              <w:rPr>
                <w:rFonts w:hint="eastAsia" w:ascii="CESI仿宋-GB2312" w:hAnsi="CESI仿宋-GB2312" w:eastAsia="CESI仿宋-GB2312" w:cs="CESI仿宋-GB2312"/>
                <w:sz w:val="28"/>
                <w:szCs w:val="28"/>
                <w:lang w:val="en-US" w:eastAsia="zh-CN"/>
              </w:rPr>
            </w:sdtEndPr>
            <w:sdtContent>
              <w:r>
                <w:rPr>
                  <w:rFonts w:hint="eastAsia" w:ascii="CESI仿宋-GB2312" w:hAnsi="CESI仿宋-GB2312" w:eastAsia="CESI仿宋-GB2312" w:cs="CESI仿宋-GB2312"/>
                  <w:sz w:val="28"/>
                  <w:szCs w:val="28"/>
                </w:rPr>
                <w:t>第六节 探索金融支持文旅康养新路径</w:t>
              </w:r>
            </w:sdtContent>
          </w:sdt>
          <w:r>
            <w:rPr>
              <w:rFonts w:hint="eastAsia" w:ascii="CESI仿宋-GB2312" w:hAnsi="CESI仿宋-GB2312" w:eastAsia="CESI仿宋-GB2312" w:cs="CESI仿宋-GB2312"/>
              <w:sz w:val="28"/>
              <w:szCs w:val="28"/>
            </w:rPr>
            <w:tab/>
          </w:r>
          <w:bookmarkStart w:id="19" w:name="_Toc209895767_WPSOffice_Level2Page"/>
          <w:r>
            <w:rPr>
              <w:rFonts w:hint="eastAsia" w:ascii="CESI仿宋-GB2312" w:hAnsi="CESI仿宋-GB2312" w:eastAsia="CESI仿宋-GB2312" w:cs="CESI仿宋-GB2312"/>
              <w:sz w:val="28"/>
              <w:szCs w:val="28"/>
            </w:rPr>
            <w:t>33</w:t>
          </w:r>
          <w:bookmarkEnd w:id="19"/>
          <w:r>
            <w:rPr>
              <w:rFonts w:hint="eastAsia" w:ascii="CESI仿宋-GB2312" w:hAnsi="CESI仿宋-GB2312" w:eastAsia="CESI仿宋-GB2312" w:cs="CESI仿宋-GB2312"/>
              <w:sz w:val="28"/>
              <w:szCs w:val="28"/>
            </w:rPr>
            <w:fldChar w:fldCharType="end"/>
          </w:r>
        </w:p>
        <w:p>
          <w:pPr>
            <w:pStyle w:val="40"/>
            <w:tabs>
              <w:tab w:val="right" w:leader="dot" w:pos="8300"/>
            </w:tabs>
            <w:rPr>
              <w:b w:val="0"/>
              <w:bCs w:val="0"/>
              <w:sz w:val="28"/>
              <w:szCs w:val="28"/>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HYPERLINK \l _Toc1416099066_WPSOffice_Level2 </w:instrText>
          </w:r>
          <w:r>
            <w:rPr>
              <w:rFonts w:hint="eastAsia" w:ascii="CESI仿宋-GB2312" w:hAnsi="CESI仿宋-GB2312" w:eastAsia="CESI仿宋-GB2312" w:cs="CESI仿宋-GB2312"/>
              <w:sz w:val="28"/>
              <w:szCs w:val="28"/>
            </w:rPr>
            <w:fldChar w:fldCharType="separate"/>
          </w:r>
          <w:sdt>
            <w:sdtPr>
              <w:rPr>
                <w:rFonts w:hint="eastAsia" w:ascii="CESI仿宋-GB2312" w:hAnsi="CESI仿宋-GB2312" w:eastAsia="CESI仿宋-GB2312" w:cs="CESI仿宋-GB2312"/>
                <w:sz w:val="28"/>
                <w:szCs w:val="28"/>
                <w:lang w:val="en-US" w:eastAsia="zh-CN"/>
              </w:rPr>
              <w:id w:val="351071153"/>
              <w:placeholder>
                <w:docPart w:val="{e955b151-3476-4fda-af5c-4470e00f07b0}"/>
              </w:placeholder>
            </w:sdtPr>
            <w:sdtEndPr>
              <w:rPr>
                <w:rFonts w:hint="eastAsia" w:ascii="CESI仿宋-GB2312" w:hAnsi="CESI仿宋-GB2312" w:eastAsia="CESI仿宋-GB2312" w:cs="CESI仿宋-GB2312"/>
                <w:sz w:val="28"/>
                <w:szCs w:val="28"/>
                <w:lang w:val="en-US" w:eastAsia="zh-CN"/>
              </w:rPr>
            </w:sdtEndPr>
            <w:sdtContent>
              <w:r>
                <w:rPr>
                  <w:rFonts w:hint="eastAsia" w:ascii="CESI仿宋-GB2312" w:hAnsi="CESI仿宋-GB2312" w:eastAsia="CESI仿宋-GB2312" w:cs="CESI仿宋-GB2312"/>
                  <w:sz w:val="28"/>
                  <w:szCs w:val="28"/>
                </w:rPr>
                <w:t>第七节 形成金融支持重点项目融资新生态</w:t>
              </w:r>
            </w:sdtContent>
          </w:sdt>
          <w:r>
            <w:rPr>
              <w:rFonts w:hint="eastAsia" w:ascii="CESI仿宋-GB2312" w:hAnsi="CESI仿宋-GB2312" w:eastAsia="CESI仿宋-GB2312" w:cs="CESI仿宋-GB2312"/>
              <w:sz w:val="28"/>
              <w:szCs w:val="28"/>
            </w:rPr>
            <w:tab/>
          </w:r>
          <w:bookmarkStart w:id="20" w:name="_Toc1416099066_WPSOffice_Level2Page"/>
          <w:r>
            <w:rPr>
              <w:rFonts w:hint="eastAsia" w:ascii="CESI仿宋-GB2312" w:hAnsi="CESI仿宋-GB2312" w:eastAsia="CESI仿宋-GB2312" w:cs="CESI仿宋-GB2312"/>
              <w:sz w:val="28"/>
              <w:szCs w:val="28"/>
            </w:rPr>
            <w:t>35</w:t>
          </w:r>
          <w:bookmarkEnd w:id="20"/>
          <w:r>
            <w:rPr>
              <w:rFonts w:hint="eastAsia" w:ascii="CESI仿宋-GB2312" w:hAnsi="CESI仿宋-GB2312" w:eastAsia="CESI仿宋-GB2312" w:cs="CESI仿宋-GB2312"/>
              <w:sz w:val="28"/>
              <w:szCs w:val="28"/>
            </w:rPr>
            <w:fldChar w:fldCharType="end"/>
          </w:r>
        </w:p>
        <w:p>
          <w:pPr>
            <w:pStyle w:val="39"/>
            <w:tabs>
              <w:tab w:val="right" w:leader="dot" w:pos="8300"/>
            </w:tabs>
            <w:rPr>
              <w:b w:val="0"/>
              <w:bCs w:val="0"/>
              <w:sz w:val="28"/>
              <w:szCs w:val="28"/>
            </w:rPr>
          </w:pPr>
          <w:r>
            <w:rPr>
              <w:b w:val="0"/>
              <w:bCs w:val="0"/>
              <w:sz w:val="28"/>
              <w:szCs w:val="28"/>
            </w:rPr>
            <w:fldChar w:fldCharType="begin"/>
          </w:r>
          <w:r>
            <w:rPr>
              <w:b w:val="0"/>
              <w:bCs w:val="0"/>
              <w:sz w:val="28"/>
              <w:szCs w:val="28"/>
            </w:rPr>
            <w:instrText xml:space="preserve"> HYPERLINK \l _Toc2017530698_WPSOffice_Level1 </w:instrText>
          </w:r>
          <w:r>
            <w:rPr>
              <w:b w:val="0"/>
              <w:bCs w:val="0"/>
              <w:sz w:val="28"/>
              <w:szCs w:val="28"/>
            </w:rPr>
            <w:fldChar w:fldCharType="separate"/>
          </w:r>
          <w:sdt>
            <w:sdtPr>
              <w:rPr>
                <w:rFonts w:eastAsia="SimSun-ExtB" w:asciiTheme="minorHAnsi" w:hAnsiTheme="minorHAnsi" w:cstheme="minorBidi"/>
                <w:b w:val="0"/>
                <w:bCs w:val="0"/>
                <w:kern w:val="44"/>
                <w:sz w:val="28"/>
                <w:szCs w:val="28"/>
                <w:lang w:val="en-US" w:eastAsia="zh-CN" w:bidi="ar-SA"/>
              </w:rPr>
              <w:id w:val="351071153"/>
              <w:placeholder>
                <w:docPart w:val="{a3ad0d62-5427-4879-a909-a30667f356b9}"/>
              </w:placeholder>
            </w:sdtPr>
            <w:sdtEndPr>
              <w:rPr>
                <w:rFonts w:hint="eastAsia" w:ascii="黑体" w:hAnsi="黑体" w:eastAsia="黑体" w:cs="CESI黑体-GB2312"/>
                <w:b w:val="0"/>
                <w:bCs w:val="0"/>
                <w:kern w:val="44"/>
                <w:sz w:val="28"/>
                <w:szCs w:val="28"/>
                <w:lang w:val="en-US" w:eastAsia="zh-CN" w:bidi="ar-SA"/>
              </w:rPr>
            </w:sdtEndPr>
            <w:sdtContent>
              <w:r>
                <w:rPr>
                  <w:rFonts w:hint="eastAsia" w:ascii="黑体" w:hAnsi="黑体" w:eastAsia="黑体" w:cs="CESI黑体-GB2312"/>
                  <w:b w:val="0"/>
                  <w:bCs w:val="0"/>
                  <w:sz w:val="28"/>
                  <w:szCs w:val="28"/>
                  <w:lang w:val="en-US" w:eastAsia="zh-CN"/>
                </w:rPr>
                <w:t xml:space="preserve">第五部分 </w:t>
              </w:r>
              <w:bookmarkStart w:id="21" w:name="_Toc2017530698_WPSOffice_Level1Page"/>
              <w:r>
                <w:rPr>
                  <w:rFonts w:hint="eastAsia" w:ascii="黑体" w:hAnsi="黑体" w:eastAsia="黑体" w:cs="CESI黑体-GB2312"/>
                  <w:b w:val="0"/>
                  <w:bCs w:val="0"/>
                  <w:sz w:val="28"/>
                  <w:szCs w:val="28"/>
                  <w:lang w:eastAsia="zh-CN"/>
                </w:rPr>
                <w:t>聚焦区域金融安全</w:t>
              </w:r>
              <w:r>
                <w:rPr>
                  <w:rFonts w:hint="eastAsia" w:ascii="黑体" w:hAnsi="黑体" w:eastAsia="黑体" w:cs="CESI黑体-GB2312"/>
                  <w:b w:val="0"/>
                  <w:bCs w:val="0"/>
                  <w:sz w:val="28"/>
                  <w:szCs w:val="28"/>
                </w:rPr>
                <w:t xml:space="preserve"> </w:t>
              </w:r>
              <w:r>
                <w:rPr>
                  <w:rFonts w:hint="eastAsia" w:ascii="黑体" w:hAnsi="黑体" w:eastAsia="黑体" w:cs="CESI黑体-GB2312"/>
                  <w:b w:val="0"/>
                  <w:bCs w:val="0"/>
                  <w:sz w:val="28"/>
                  <w:szCs w:val="28"/>
                  <w:lang w:eastAsia="zh-CN"/>
                </w:rPr>
                <w:t>实施金融防护工程</w:t>
              </w:r>
            </w:sdtContent>
          </w:sdt>
          <w:r>
            <w:rPr>
              <w:rFonts w:hint="eastAsia" w:ascii="黑体" w:hAnsi="黑体" w:eastAsia="黑体" w:cs="CESI黑体-GB2312"/>
              <w:b w:val="0"/>
              <w:bCs w:val="0"/>
              <w:kern w:val="44"/>
              <w:sz w:val="28"/>
              <w:szCs w:val="28"/>
              <w:lang w:val="en-US" w:eastAsia="zh-CN" w:bidi="ar-SA"/>
            </w:rPr>
            <w:t>...........................</w:t>
          </w:r>
          <w:r>
            <w:rPr>
              <w:rFonts w:hint="eastAsia" w:ascii="黑体" w:hAnsi="黑体" w:eastAsia="黑体" w:cs="CESI黑体-GB2312"/>
              <w:b w:val="0"/>
              <w:bCs w:val="0"/>
              <w:sz w:val="28"/>
              <w:szCs w:val="28"/>
              <w:lang w:val="en-US" w:eastAsia="zh-CN"/>
            </w:rPr>
            <w:t>37</w:t>
          </w:r>
          <w:bookmarkEnd w:id="21"/>
          <w:r>
            <w:rPr>
              <w:rFonts w:hint="eastAsia" w:ascii="黑体" w:hAnsi="黑体" w:eastAsia="黑体" w:cs="CESI黑体-GB2312"/>
              <w:b w:val="0"/>
              <w:bCs w:val="0"/>
              <w:sz w:val="28"/>
              <w:szCs w:val="28"/>
              <w:lang w:val="en-US" w:eastAsia="zh-CN"/>
            </w:rPr>
            <w:fldChar w:fldCharType="end"/>
          </w:r>
        </w:p>
        <w:p>
          <w:pPr>
            <w:pStyle w:val="40"/>
            <w:tabs>
              <w:tab w:val="right" w:leader="dot" w:pos="8300"/>
            </w:tabs>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HYPERLINK \l _Toc1602073166_WPSOffice_Level2 </w:instrText>
          </w:r>
          <w:r>
            <w:rPr>
              <w:rFonts w:hint="eastAsia" w:ascii="CESI仿宋-GB2312" w:hAnsi="CESI仿宋-GB2312" w:eastAsia="CESI仿宋-GB2312" w:cs="CESI仿宋-GB2312"/>
              <w:sz w:val="28"/>
              <w:szCs w:val="28"/>
            </w:rPr>
            <w:fldChar w:fldCharType="separate"/>
          </w:r>
          <w:sdt>
            <w:sdtPr>
              <w:rPr>
                <w:rFonts w:hint="eastAsia" w:ascii="CESI仿宋-GB2312" w:hAnsi="CESI仿宋-GB2312" w:eastAsia="CESI仿宋-GB2312" w:cs="CESI仿宋-GB2312"/>
                <w:sz w:val="28"/>
                <w:szCs w:val="28"/>
                <w:lang w:val="en-US" w:eastAsia="zh-CN"/>
              </w:rPr>
              <w:id w:val="351071153"/>
              <w:placeholder>
                <w:docPart w:val="{c1ecf2f9-8a2c-4ea1-85ac-28cda2c9ec97}"/>
              </w:placeholder>
            </w:sdtPr>
            <w:sdtEndPr>
              <w:rPr>
                <w:rFonts w:hint="eastAsia" w:ascii="CESI仿宋-GB2312" w:hAnsi="CESI仿宋-GB2312" w:eastAsia="CESI仿宋-GB2312" w:cs="CESI仿宋-GB2312"/>
                <w:sz w:val="28"/>
                <w:szCs w:val="28"/>
                <w:lang w:val="en-US" w:eastAsia="zh-CN"/>
              </w:rPr>
            </w:sdtEndPr>
            <w:sdtContent>
              <w:r>
                <w:rPr>
                  <w:rFonts w:hint="eastAsia" w:ascii="CESI仿宋-GB2312" w:hAnsi="CESI仿宋-GB2312" w:eastAsia="CESI仿宋-GB2312" w:cs="CESI仿宋-GB2312"/>
                  <w:sz w:val="28"/>
                  <w:szCs w:val="28"/>
                </w:rPr>
                <w:t>第一节 健全完善风险监测预警机制</w:t>
              </w:r>
            </w:sdtContent>
          </w:sdt>
          <w:r>
            <w:rPr>
              <w:rFonts w:hint="eastAsia" w:ascii="CESI仿宋-GB2312" w:hAnsi="CESI仿宋-GB2312" w:eastAsia="CESI仿宋-GB2312" w:cs="CESI仿宋-GB2312"/>
              <w:sz w:val="28"/>
              <w:szCs w:val="28"/>
            </w:rPr>
            <w:tab/>
          </w:r>
          <w:bookmarkStart w:id="22" w:name="_Toc1602073166_WPSOffice_Level2Page"/>
          <w:r>
            <w:rPr>
              <w:rFonts w:hint="eastAsia" w:ascii="CESI仿宋-GB2312" w:hAnsi="CESI仿宋-GB2312" w:eastAsia="CESI仿宋-GB2312" w:cs="CESI仿宋-GB2312"/>
              <w:sz w:val="28"/>
              <w:szCs w:val="28"/>
            </w:rPr>
            <w:t>37</w:t>
          </w:r>
          <w:bookmarkEnd w:id="22"/>
          <w:r>
            <w:rPr>
              <w:rFonts w:hint="eastAsia" w:ascii="CESI仿宋-GB2312" w:hAnsi="CESI仿宋-GB2312" w:eastAsia="CESI仿宋-GB2312" w:cs="CESI仿宋-GB2312"/>
              <w:sz w:val="28"/>
              <w:szCs w:val="28"/>
            </w:rPr>
            <w:fldChar w:fldCharType="end"/>
          </w:r>
        </w:p>
        <w:p>
          <w:pPr>
            <w:pStyle w:val="40"/>
            <w:tabs>
              <w:tab w:val="right" w:leader="dot" w:pos="8300"/>
            </w:tabs>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HYPERLINK \l _Toc899523255_WPSOffice_Level2 </w:instrText>
          </w:r>
          <w:r>
            <w:rPr>
              <w:rFonts w:hint="eastAsia" w:ascii="CESI仿宋-GB2312" w:hAnsi="CESI仿宋-GB2312" w:eastAsia="CESI仿宋-GB2312" w:cs="CESI仿宋-GB2312"/>
              <w:sz w:val="28"/>
              <w:szCs w:val="28"/>
            </w:rPr>
            <w:fldChar w:fldCharType="separate"/>
          </w:r>
          <w:sdt>
            <w:sdtPr>
              <w:rPr>
                <w:rFonts w:hint="eastAsia" w:ascii="CESI仿宋-GB2312" w:hAnsi="CESI仿宋-GB2312" w:eastAsia="CESI仿宋-GB2312" w:cs="CESI仿宋-GB2312"/>
                <w:sz w:val="28"/>
                <w:szCs w:val="28"/>
                <w:lang w:val="en-US" w:eastAsia="zh-CN"/>
              </w:rPr>
              <w:id w:val="351071153"/>
              <w:placeholder>
                <w:docPart w:val="{5634981f-5e59-495d-900e-0a404d1fb60c}"/>
              </w:placeholder>
            </w:sdtPr>
            <w:sdtEndPr>
              <w:rPr>
                <w:rFonts w:hint="eastAsia" w:ascii="CESI仿宋-GB2312" w:hAnsi="CESI仿宋-GB2312" w:eastAsia="CESI仿宋-GB2312" w:cs="CESI仿宋-GB2312"/>
                <w:sz w:val="28"/>
                <w:szCs w:val="28"/>
                <w:lang w:val="en-US" w:eastAsia="zh-CN"/>
              </w:rPr>
            </w:sdtEndPr>
            <w:sdtContent>
              <w:r>
                <w:rPr>
                  <w:rFonts w:hint="eastAsia" w:ascii="CESI仿宋-GB2312" w:hAnsi="CESI仿宋-GB2312" w:eastAsia="CESI仿宋-GB2312" w:cs="CESI仿宋-GB2312"/>
                  <w:sz w:val="28"/>
                  <w:szCs w:val="28"/>
                </w:rPr>
                <w:t>第二节 稳妥防范处置突出风险点</w:t>
              </w:r>
            </w:sdtContent>
          </w:sdt>
          <w:r>
            <w:rPr>
              <w:rFonts w:hint="eastAsia" w:ascii="CESI仿宋-GB2312" w:hAnsi="CESI仿宋-GB2312" w:eastAsia="CESI仿宋-GB2312" w:cs="CESI仿宋-GB2312"/>
              <w:sz w:val="28"/>
              <w:szCs w:val="28"/>
            </w:rPr>
            <w:tab/>
          </w:r>
          <w:bookmarkStart w:id="23" w:name="_Toc899523255_WPSOffice_Level2Page"/>
          <w:r>
            <w:rPr>
              <w:rFonts w:hint="eastAsia" w:ascii="CESI仿宋-GB2312" w:hAnsi="CESI仿宋-GB2312" w:eastAsia="CESI仿宋-GB2312" w:cs="CESI仿宋-GB2312"/>
              <w:sz w:val="28"/>
              <w:szCs w:val="28"/>
            </w:rPr>
            <w:t>38</w:t>
          </w:r>
          <w:bookmarkEnd w:id="23"/>
          <w:r>
            <w:rPr>
              <w:rFonts w:hint="eastAsia" w:ascii="CESI仿宋-GB2312" w:hAnsi="CESI仿宋-GB2312" w:eastAsia="CESI仿宋-GB2312" w:cs="CESI仿宋-GB2312"/>
              <w:sz w:val="28"/>
              <w:szCs w:val="28"/>
            </w:rPr>
            <w:fldChar w:fldCharType="end"/>
          </w:r>
        </w:p>
        <w:p>
          <w:pPr>
            <w:pStyle w:val="40"/>
            <w:tabs>
              <w:tab w:val="right" w:leader="dot" w:pos="8300"/>
            </w:tabs>
            <w:rPr>
              <w:b w:val="0"/>
              <w:bCs w:val="0"/>
              <w:sz w:val="28"/>
              <w:szCs w:val="28"/>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HYPERLINK \l _Toc1982700137_WPSOffice_Level2 </w:instrText>
          </w:r>
          <w:r>
            <w:rPr>
              <w:rFonts w:hint="eastAsia" w:ascii="CESI仿宋-GB2312" w:hAnsi="CESI仿宋-GB2312" w:eastAsia="CESI仿宋-GB2312" w:cs="CESI仿宋-GB2312"/>
              <w:sz w:val="28"/>
              <w:szCs w:val="28"/>
            </w:rPr>
            <w:fldChar w:fldCharType="separate"/>
          </w:r>
          <w:sdt>
            <w:sdtPr>
              <w:rPr>
                <w:rFonts w:hint="eastAsia" w:ascii="CESI仿宋-GB2312" w:hAnsi="CESI仿宋-GB2312" w:eastAsia="CESI仿宋-GB2312" w:cs="CESI仿宋-GB2312"/>
                <w:sz w:val="28"/>
                <w:szCs w:val="28"/>
                <w:lang w:val="en-US" w:eastAsia="zh-CN"/>
              </w:rPr>
              <w:id w:val="351071153"/>
              <w:placeholder>
                <w:docPart w:val="{04936ea5-c2ef-443d-b14e-32b3c8f4eae4}"/>
              </w:placeholder>
            </w:sdtPr>
            <w:sdtEndPr>
              <w:rPr>
                <w:rFonts w:hint="eastAsia" w:ascii="CESI仿宋-GB2312" w:hAnsi="CESI仿宋-GB2312" w:eastAsia="CESI仿宋-GB2312" w:cs="CESI仿宋-GB2312"/>
                <w:sz w:val="28"/>
                <w:szCs w:val="28"/>
                <w:lang w:val="en-US" w:eastAsia="zh-CN"/>
              </w:rPr>
            </w:sdtEndPr>
            <w:sdtContent>
              <w:r>
                <w:rPr>
                  <w:rFonts w:hint="eastAsia" w:ascii="CESI仿宋-GB2312" w:hAnsi="CESI仿宋-GB2312" w:eastAsia="CESI仿宋-GB2312" w:cs="CESI仿宋-GB2312"/>
                  <w:sz w:val="28"/>
                  <w:szCs w:val="28"/>
                </w:rPr>
                <w:t>第三节 加强金融生态环境建设</w:t>
              </w:r>
            </w:sdtContent>
          </w:sdt>
          <w:r>
            <w:rPr>
              <w:rFonts w:hint="eastAsia" w:ascii="CESI仿宋-GB2312" w:hAnsi="CESI仿宋-GB2312" w:eastAsia="CESI仿宋-GB2312" w:cs="CESI仿宋-GB2312"/>
              <w:sz w:val="28"/>
              <w:szCs w:val="28"/>
            </w:rPr>
            <w:tab/>
          </w:r>
          <w:bookmarkStart w:id="24" w:name="_Toc1982700137_WPSOffice_Level2Page"/>
          <w:r>
            <w:rPr>
              <w:rFonts w:hint="eastAsia" w:ascii="CESI仿宋-GB2312" w:hAnsi="CESI仿宋-GB2312" w:eastAsia="CESI仿宋-GB2312" w:cs="CESI仿宋-GB2312"/>
              <w:sz w:val="28"/>
              <w:szCs w:val="28"/>
            </w:rPr>
            <w:t>40</w:t>
          </w:r>
          <w:bookmarkEnd w:id="24"/>
          <w:r>
            <w:rPr>
              <w:rFonts w:hint="eastAsia" w:ascii="CESI仿宋-GB2312" w:hAnsi="CESI仿宋-GB2312" w:eastAsia="CESI仿宋-GB2312" w:cs="CESI仿宋-GB2312"/>
              <w:sz w:val="28"/>
              <w:szCs w:val="28"/>
            </w:rPr>
            <w:fldChar w:fldCharType="end"/>
          </w:r>
        </w:p>
        <w:p>
          <w:pPr>
            <w:pStyle w:val="39"/>
            <w:tabs>
              <w:tab w:val="right" w:leader="dot" w:pos="8300"/>
            </w:tabs>
            <w:rPr>
              <w:b w:val="0"/>
              <w:bCs w:val="0"/>
              <w:sz w:val="28"/>
              <w:szCs w:val="28"/>
            </w:rPr>
          </w:pPr>
          <w:r>
            <w:rPr>
              <w:b w:val="0"/>
              <w:bCs w:val="0"/>
              <w:sz w:val="28"/>
              <w:szCs w:val="28"/>
            </w:rPr>
            <w:fldChar w:fldCharType="begin"/>
          </w:r>
          <w:r>
            <w:rPr>
              <w:b w:val="0"/>
              <w:bCs w:val="0"/>
              <w:sz w:val="28"/>
              <w:szCs w:val="28"/>
            </w:rPr>
            <w:instrText xml:space="preserve"> HYPERLINK \l _Toc1719679573_WPSOffice_Level1 </w:instrText>
          </w:r>
          <w:r>
            <w:rPr>
              <w:b w:val="0"/>
              <w:bCs w:val="0"/>
              <w:sz w:val="28"/>
              <w:szCs w:val="28"/>
            </w:rPr>
            <w:fldChar w:fldCharType="separate"/>
          </w:r>
          <w:sdt>
            <w:sdtPr>
              <w:rPr>
                <w:rFonts w:hint="eastAsia" w:ascii="黑体" w:hAnsi="黑体" w:eastAsia="黑体" w:cs="CESI黑体-GB2312"/>
                <w:b w:val="0"/>
                <w:bCs w:val="0"/>
                <w:sz w:val="28"/>
                <w:szCs w:val="28"/>
                <w:lang w:val="en-US" w:eastAsia="zh-CN"/>
              </w:rPr>
              <w:id w:val="351071153"/>
              <w:placeholder>
                <w:docPart w:val="{9378617f-33d2-4a9e-b447-c2d101697e32}"/>
              </w:placeholder>
            </w:sdtPr>
            <w:sdtEndPr>
              <w:rPr>
                <w:rFonts w:hint="eastAsia" w:eastAsia="SimSun-ExtB" w:asciiTheme="minorHAnsi" w:hAnsiTheme="minorHAnsi" w:cstheme="minorBidi"/>
                <w:b w:val="0"/>
                <w:bCs w:val="0"/>
                <w:kern w:val="44"/>
                <w:sz w:val="28"/>
                <w:szCs w:val="28"/>
                <w:lang w:val="en-US" w:eastAsia="zh-CN" w:bidi="ar-SA"/>
              </w:rPr>
            </w:sdtEndPr>
            <w:sdtContent>
              <w:r>
                <w:rPr>
                  <w:rFonts w:hint="eastAsia" w:ascii="黑体" w:hAnsi="黑体" w:eastAsia="黑体" w:cs="CESI黑体-GB2312"/>
                  <w:b w:val="0"/>
                  <w:bCs w:val="0"/>
                  <w:sz w:val="28"/>
                  <w:szCs w:val="28"/>
                  <w:lang w:val="en-US" w:eastAsia="zh-CN"/>
                </w:rPr>
                <w:t>第六部分 加强规划实施保障 开创金融高质量发展新局面</w:t>
              </w:r>
            </w:sdtContent>
          </w:sdt>
          <w:r>
            <w:rPr>
              <w:b w:val="0"/>
              <w:bCs w:val="0"/>
              <w:sz w:val="28"/>
              <w:szCs w:val="28"/>
            </w:rPr>
            <w:tab/>
          </w:r>
          <w:bookmarkStart w:id="25" w:name="_Toc1719679573_WPSOffice_Level1Page"/>
          <w:r>
            <w:rPr>
              <w:b w:val="0"/>
              <w:bCs w:val="0"/>
              <w:sz w:val="28"/>
              <w:szCs w:val="28"/>
            </w:rPr>
            <w:t>42</w:t>
          </w:r>
          <w:bookmarkEnd w:id="25"/>
          <w:r>
            <w:rPr>
              <w:b w:val="0"/>
              <w:bCs w:val="0"/>
              <w:sz w:val="28"/>
              <w:szCs w:val="28"/>
            </w:rPr>
            <w:fldChar w:fldCharType="end"/>
          </w:r>
        </w:p>
        <w:p>
          <w:pPr>
            <w:pStyle w:val="40"/>
            <w:tabs>
              <w:tab w:val="right" w:leader="dot" w:pos="8300"/>
            </w:tabs>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HYPERLINK \l _Toc1867030878_WPSOffice_Level2 </w:instrText>
          </w:r>
          <w:r>
            <w:rPr>
              <w:rFonts w:hint="eastAsia" w:ascii="CESI仿宋-GB2312" w:hAnsi="CESI仿宋-GB2312" w:eastAsia="CESI仿宋-GB2312" w:cs="CESI仿宋-GB2312"/>
              <w:sz w:val="28"/>
              <w:szCs w:val="28"/>
            </w:rPr>
            <w:fldChar w:fldCharType="separate"/>
          </w:r>
          <w:sdt>
            <w:sdtPr>
              <w:rPr>
                <w:rFonts w:hint="eastAsia" w:ascii="CESI仿宋-GB2312" w:hAnsi="CESI仿宋-GB2312" w:eastAsia="CESI仿宋-GB2312" w:cs="CESI仿宋-GB2312"/>
                <w:sz w:val="28"/>
                <w:szCs w:val="28"/>
                <w:lang w:val="en-US" w:eastAsia="zh-CN"/>
              </w:rPr>
              <w:id w:val="351071153"/>
              <w:placeholder>
                <w:docPart w:val="{4dd62f95-36e9-4bc4-8d45-4ab37d70ae1c}"/>
              </w:placeholder>
            </w:sdtPr>
            <w:sdtEndPr>
              <w:rPr>
                <w:rFonts w:hint="eastAsia" w:ascii="CESI仿宋-GB2312" w:hAnsi="CESI仿宋-GB2312" w:eastAsia="CESI仿宋-GB2312" w:cs="CESI仿宋-GB2312"/>
                <w:sz w:val="28"/>
                <w:szCs w:val="28"/>
                <w:lang w:val="en-US" w:eastAsia="zh-CN"/>
              </w:rPr>
            </w:sdtEndPr>
            <w:sdtContent>
              <w:r>
                <w:rPr>
                  <w:rFonts w:hint="eastAsia" w:ascii="CESI仿宋-GB2312" w:hAnsi="CESI仿宋-GB2312" w:eastAsia="CESI仿宋-GB2312" w:cs="CESI仿宋-GB2312"/>
                  <w:sz w:val="28"/>
                  <w:szCs w:val="28"/>
                </w:rPr>
                <w:t>第一节 加强党对金融工作的领导</w:t>
              </w:r>
            </w:sdtContent>
          </w:sdt>
          <w:r>
            <w:rPr>
              <w:rFonts w:hint="eastAsia" w:ascii="CESI仿宋-GB2312" w:hAnsi="CESI仿宋-GB2312" w:eastAsia="CESI仿宋-GB2312" w:cs="CESI仿宋-GB2312"/>
              <w:sz w:val="28"/>
              <w:szCs w:val="28"/>
            </w:rPr>
            <w:tab/>
          </w:r>
          <w:bookmarkStart w:id="26" w:name="_Toc1867030878_WPSOffice_Level2Page"/>
          <w:r>
            <w:rPr>
              <w:rFonts w:hint="eastAsia" w:ascii="CESI仿宋-GB2312" w:hAnsi="CESI仿宋-GB2312" w:eastAsia="CESI仿宋-GB2312" w:cs="CESI仿宋-GB2312"/>
              <w:sz w:val="28"/>
              <w:szCs w:val="28"/>
            </w:rPr>
            <w:t>42</w:t>
          </w:r>
          <w:bookmarkEnd w:id="26"/>
          <w:r>
            <w:rPr>
              <w:rFonts w:hint="eastAsia" w:ascii="CESI仿宋-GB2312" w:hAnsi="CESI仿宋-GB2312" w:eastAsia="CESI仿宋-GB2312" w:cs="CESI仿宋-GB2312"/>
              <w:sz w:val="28"/>
              <w:szCs w:val="28"/>
            </w:rPr>
            <w:fldChar w:fldCharType="end"/>
          </w:r>
        </w:p>
        <w:p>
          <w:pPr>
            <w:pStyle w:val="40"/>
            <w:tabs>
              <w:tab w:val="right" w:leader="dot" w:pos="8300"/>
            </w:tabs>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HYPERLINK \l _Toc1801910826_WPSOffice_Level2 </w:instrText>
          </w:r>
          <w:r>
            <w:rPr>
              <w:rFonts w:hint="eastAsia" w:ascii="CESI仿宋-GB2312" w:hAnsi="CESI仿宋-GB2312" w:eastAsia="CESI仿宋-GB2312" w:cs="CESI仿宋-GB2312"/>
              <w:sz w:val="28"/>
              <w:szCs w:val="28"/>
            </w:rPr>
            <w:fldChar w:fldCharType="separate"/>
          </w:r>
          <w:sdt>
            <w:sdtPr>
              <w:rPr>
                <w:rFonts w:hint="eastAsia" w:ascii="CESI仿宋-GB2312" w:hAnsi="CESI仿宋-GB2312" w:eastAsia="CESI仿宋-GB2312" w:cs="CESI仿宋-GB2312"/>
                <w:sz w:val="28"/>
                <w:szCs w:val="28"/>
                <w:lang w:val="en-US" w:eastAsia="zh-CN"/>
              </w:rPr>
              <w:id w:val="351071153"/>
              <w:placeholder>
                <w:docPart w:val="{a6cab34c-232c-48cd-a56c-a15107e0cd6b}"/>
              </w:placeholder>
            </w:sdtPr>
            <w:sdtEndPr>
              <w:rPr>
                <w:rFonts w:hint="eastAsia" w:ascii="CESI仿宋-GB2312" w:hAnsi="CESI仿宋-GB2312" w:eastAsia="CESI仿宋-GB2312" w:cs="CESI仿宋-GB2312"/>
                <w:sz w:val="28"/>
                <w:szCs w:val="28"/>
                <w:lang w:val="en-US" w:eastAsia="zh-CN"/>
              </w:rPr>
            </w:sdtEndPr>
            <w:sdtContent>
              <w:r>
                <w:rPr>
                  <w:rFonts w:hint="eastAsia" w:ascii="CESI仿宋-GB2312" w:hAnsi="CESI仿宋-GB2312" w:eastAsia="CESI仿宋-GB2312" w:cs="CESI仿宋-GB2312"/>
                  <w:sz w:val="28"/>
                  <w:szCs w:val="28"/>
                </w:rPr>
                <w:t>第二节 完善纵横结合的协调机制</w:t>
              </w:r>
            </w:sdtContent>
          </w:sdt>
          <w:r>
            <w:rPr>
              <w:rFonts w:hint="eastAsia" w:ascii="CESI仿宋-GB2312" w:hAnsi="CESI仿宋-GB2312" w:eastAsia="CESI仿宋-GB2312" w:cs="CESI仿宋-GB2312"/>
              <w:sz w:val="28"/>
              <w:szCs w:val="28"/>
            </w:rPr>
            <w:tab/>
          </w:r>
          <w:bookmarkStart w:id="27" w:name="_Toc1801910826_WPSOffice_Level2Page"/>
          <w:r>
            <w:rPr>
              <w:rFonts w:hint="eastAsia" w:ascii="CESI仿宋-GB2312" w:hAnsi="CESI仿宋-GB2312" w:eastAsia="CESI仿宋-GB2312" w:cs="CESI仿宋-GB2312"/>
              <w:sz w:val="28"/>
              <w:szCs w:val="28"/>
            </w:rPr>
            <w:t>42</w:t>
          </w:r>
          <w:bookmarkEnd w:id="27"/>
          <w:r>
            <w:rPr>
              <w:rFonts w:hint="eastAsia" w:ascii="CESI仿宋-GB2312" w:hAnsi="CESI仿宋-GB2312" w:eastAsia="CESI仿宋-GB2312" w:cs="CESI仿宋-GB2312"/>
              <w:sz w:val="28"/>
              <w:szCs w:val="28"/>
            </w:rPr>
            <w:fldChar w:fldCharType="end"/>
          </w:r>
        </w:p>
        <w:p>
          <w:pPr>
            <w:pStyle w:val="40"/>
            <w:tabs>
              <w:tab w:val="right" w:leader="dot" w:pos="8300"/>
            </w:tabs>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HYPERLINK \l _Toc1784856696_WPSOffice_Level2 </w:instrText>
          </w:r>
          <w:r>
            <w:rPr>
              <w:rFonts w:hint="eastAsia" w:ascii="CESI仿宋-GB2312" w:hAnsi="CESI仿宋-GB2312" w:eastAsia="CESI仿宋-GB2312" w:cs="CESI仿宋-GB2312"/>
              <w:sz w:val="28"/>
              <w:szCs w:val="28"/>
            </w:rPr>
            <w:fldChar w:fldCharType="separate"/>
          </w:r>
          <w:sdt>
            <w:sdtPr>
              <w:rPr>
                <w:rFonts w:hint="eastAsia" w:ascii="CESI仿宋-GB2312" w:hAnsi="CESI仿宋-GB2312" w:eastAsia="CESI仿宋-GB2312" w:cs="CESI仿宋-GB2312"/>
                <w:sz w:val="28"/>
                <w:szCs w:val="28"/>
                <w:lang w:val="en-US" w:eastAsia="zh-CN"/>
              </w:rPr>
              <w:id w:val="351071153"/>
              <w:placeholder>
                <w:docPart w:val="{1d07879a-a1f0-4583-86ce-e06f1818d4b5}"/>
              </w:placeholder>
            </w:sdtPr>
            <w:sdtEndPr>
              <w:rPr>
                <w:rFonts w:hint="eastAsia" w:ascii="CESI仿宋-GB2312" w:hAnsi="CESI仿宋-GB2312" w:eastAsia="CESI仿宋-GB2312" w:cs="CESI仿宋-GB2312"/>
                <w:sz w:val="28"/>
                <w:szCs w:val="28"/>
                <w:lang w:val="en-US" w:eastAsia="zh-CN"/>
              </w:rPr>
            </w:sdtEndPr>
            <w:sdtContent>
              <w:r>
                <w:rPr>
                  <w:rFonts w:hint="eastAsia" w:ascii="CESI仿宋-GB2312" w:hAnsi="CESI仿宋-GB2312" w:eastAsia="CESI仿宋-GB2312" w:cs="CESI仿宋-GB2312"/>
                  <w:sz w:val="28"/>
                  <w:szCs w:val="28"/>
                </w:rPr>
                <w:t>第三节 筑牢金融人才保障基础</w:t>
              </w:r>
            </w:sdtContent>
          </w:sdt>
          <w:r>
            <w:rPr>
              <w:rFonts w:hint="eastAsia" w:ascii="CESI仿宋-GB2312" w:hAnsi="CESI仿宋-GB2312" w:eastAsia="CESI仿宋-GB2312" w:cs="CESI仿宋-GB2312"/>
              <w:sz w:val="28"/>
              <w:szCs w:val="28"/>
            </w:rPr>
            <w:tab/>
          </w:r>
          <w:bookmarkStart w:id="28" w:name="_Toc1784856696_WPSOffice_Level2Page"/>
          <w:r>
            <w:rPr>
              <w:rFonts w:hint="eastAsia" w:ascii="CESI仿宋-GB2312" w:hAnsi="CESI仿宋-GB2312" w:eastAsia="CESI仿宋-GB2312" w:cs="CESI仿宋-GB2312"/>
              <w:sz w:val="28"/>
              <w:szCs w:val="28"/>
            </w:rPr>
            <w:t>43</w:t>
          </w:r>
          <w:bookmarkEnd w:id="28"/>
          <w:r>
            <w:rPr>
              <w:rFonts w:hint="eastAsia" w:ascii="CESI仿宋-GB2312" w:hAnsi="CESI仿宋-GB2312" w:eastAsia="CESI仿宋-GB2312" w:cs="CESI仿宋-GB2312"/>
              <w:sz w:val="28"/>
              <w:szCs w:val="28"/>
            </w:rPr>
            <w:fldChar w:fldCharType="end"/>
          </w:r>
        </w:p>
        <w:p>
          <w:pPr>
            <w:pStyle w:val="40"/>
            <w:tabs>
              <w:tab w:val="right" w:leader="dot" w:pos="8300"/>
            </w:tabs>
            <w:rPr>
              <w:b w:val="0"/>
              <w:bCs w:val="0"/>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HYPERLINK \l _Toc2118353846_WPSOffice_Level2 </w:instrText>
          </w:r>
          <w:r>
            <w:rPr>
              <w:rFonts w:hint="eastAsia" w:ascii="CESI仿宋-GB2312" w:hAnsi="CESI仿宋-GB2312" w:eastAsia="CESI仿宋-GB2312" w:cs="CESI仿宋-GB2312"/>
              <w:sz w:val="28"/>
              <w:szCs w:val="28"/>
            </w:rPr>
            <w:fldChar w:fldCharType="separate"/>
          </w:r>
          <w:sdt>
            <w:sdtPr>
              <w:rPr>
                <w:rFonts w:hint="eastAsia" w:ascii="CESI仿宋-GB2312" w:hAnsi="CESI仿宋-GB2312" w:eastAsia="CESI仿宋-GB2312" w:cs="CESI仿宋-GB2312"/>
                <w:sz w:val="28"/>
                <w:szCs w:val="28"/>
                <w:lang w:val="en-US" w:eastAsia="zh-CN"/>
              </w:rPr>
              <w:id w:val="351071153"/>
              <w:placeholder>
                <w:docPart w:val="{35c7225b-5310-4290-a14a-12a836cd1077}"/>
              </w:placeholder>
            </w:sdtPr>
            <w:sdtEndPr>
              <w:rPr>
                <w:rFonts w:hint="eastAsia" w:ascii="CESI仿宋-GB2312" w:hAnsi="CESI仿宋-GB2312" w:eastAsia="CESI仿宋-GB2312" w:cs="CESI仿宋-GB2312"/>
                <w:sz w:val="28"/>
                <w:szCs w:val="28"/>
                <w:lang w:val="en-US" w:eastAsia="zh-CN"/>
              </w:rPr>
            </w:sdtEndPr>
            <w:sdtContent>
              <w:r>
                <w:rPr>
                  <w:rFonts w:hint="eastAsia" w:ascii="CESI仿宋-GB2312" w:hAnsi="CESI仿宋-GB2312" w:eastAsia="CESI仿宋-GB2312" w:cs="CESI仿宋-GB2312"/>
                  <w:sz w:val="28"/>
                  <w:szCs w:val="28"/>
                </w:rPr>
                <w:t>第四节 完善规划实施机制</w:t>
              </w:r>
            </w:sdtContent>
          </w:sdt>
          <w:r>
            <w:rPr>
              <w:rFonts w:hint="eastAsia" w:ascii="CESI仿宋-GB2312" w:hAnsi="CESI仿宋-GB2312" w:eastAsia="CESI仿宋-GB2312" w:cs="CESI仿宋-GB2312"/>
              <w:sz w:val="28"/>
              <w:szCs w:val="28"/>
            </w:rPr>
            <w:tab/>
          </w:r>
          <w:bookmarkStart w:id="29" w:name="_Toc2118353846_WPSOffice_Level2Page"/>
          <w:r>
            <w:rPr>
              <w:rFonts w:hint="eastAsia" w:ascii="CESI仿宋-GB2312" w:hAnsi="CESI仿宋-GB2312" w:eastAsia="CESI仿宋-GB2312" w:cs="CESI仿宋-GB2312"/>
              <w:sz w:val="28"/>
              <w:szCs w:val="28"/>
            </w:rPr>
            <w:t>43</w:t>
          </w:r>
          <w:bookmarkEnd w:id="29"/>
          <w:r>
            <w:rPr>
              <w:rFonts w:hint="eastAsia" w:ascii="CESI仿宋-GB2312" w:hAnsi="CESI仿宋-GB2312" w:eastAsia="CESI仿宋-GB2312" w:cs="CESI仿宋-GB2312"/>
              <w:sz w:val="28"/>
              <w:szCs w:val="28"/>
            </w:rPr>
            <w:fldChar w:fldCharType="end"/>
          </w:r>
          <w:bookmarkEnd w:id="0"/>
        </w:p>
      </w:sdtContent>
    </w:sdt>
    <w:p>
      <w:pPr>
        <w:pStyle w:val="3"/>
        <w:pageBreakBefore w:val="0"/>
        <w:widowControl w:val="0"/>
        <w:kinsoku/>
        <w:wordWrap/>
        <w:overflowPunct/>
        <w:topLinePunct w:val="0"/>
        <w:autoSpaceDE/>
        <w:autoSpaceDN/>
        <w:bidi w:val="0"/>
        <w:adjustRightInd/>
        <w:snapToGrid/>
        <w:spacing w:before="0" w:after="0" w:line="560" w:lineRule="exact"/>
        <w:jc w:val="both"/>
        <w:textAlignment w:val="auto"/>
        <w:rPr>
          <w:rFonts w:ascii="仿宋" w:hAnsi="仿宋" w:eastAsia="仿宋" w:cs="CESI黑体-GB2312"/>
          <w:bCs w:val="0"/>
          <w:szCs w:val="28"/>
        </w:rPr>
      </w:pPr>
    </w:p>
    <w:p>
      <w:pPr>
        <w:pStyle w:val="3"/>
        <w:pageBreakBefore w:val="0"/>
        <w:widowControl w:val="0"/>
        <w:kinsoku/>
        <w:wordWrap/>
        <w:overflowPunct/>
        <w:topLinePunct w:val="0"/>
        <w:autoSpaceDE/>
        <w:autoSpaceDN/>
        <w:bidi w:val="0"/>
        <w:adjustRightInd/>
        <w:snapToGrid/>
        <w:spacing w:before="0" w:after="0" w:line="560" w:lineRule="exact"/>
        <w:textAlignment w:val="auto"/>
        <w:rPr>
          <w:rFonts w:ascii="仿宋" w:hAnsi="仿宋" w:eastAsia="仿宋" w:cs="CESI黑体-GB2312"/>
          <w:bCs w:val="0"/>
          <w:szCs w:val="28"/>
        </w:rPr>
      </w:pPr>
    </w:p>
    <w:p>
      <w:pPr>
        <w:pageBreakBefore w:val="0"/>
        <w:widowControl w:val="0"/>
        <w:kinsoku/>
        <w:wordWrap/>
        <w:overflowPunct/>
        <w:topLinePunct w:val="0"/>
        <w:autoSpaceDE/>
        <w:autoSpaceDN/>
        <w:bidi w:val="0"/>
        <w:adjustRightInd/>
        <w:snapToGrid/>
        <w:spacing w:line="560" w:lineRule="exact"/>
        <w:textAlignment w:val="auto"/>
        <w:rPr>
          <w:rFonts w:ascii="仿宋" w:hAnsi="仿宋" w:eastAsia="仿宋" w:cs="CESI黑体-GB2312"/>
          <w:szCs w:val="28"/>
        </w:rPr>
      </w:pPr>
    </w:p>
    <w:p>
      <w:pPr>
        <w:rPr>
          <w:rFonts w:ascii="仿宋" w:hAnsi="仿宋" w:eastAsia="仿宋" w:cs="CESI黑体-GB2312"/>
          <w:szCs w:val="28"/>
        </w:rPr>
      </w:pPr>
    </w:p>
    <w:p>
      <w:pPr>
        <w:pStyle w:val="3"/>
        <w:spacing w:line="240" w:lineRule="atLeast"/>
        <w:rPr>
          <w:rFonts w:ascii="CESI黑体-GB2312" w:hAnsi="CESI黑体-GB2312" w:eastAsia="CESI黑体-GB2312" w:cs="CESI黑体-GB2312"/>
          <w:b w:val="0"/>
          <w:bCs w:val="0"/>
          <w:sz w:val="36"/>
          <w:szCs w:val="36"/>
        </w:rPr>
      </w:pPr>
    </w:p>
    <w:p>
      <w:pPr>
        <w:rPr>
          <w:rFonts w:hint="eastAsia"/>
        </w:rPr>
      </w:pPr>
    </w:p>
    <w:p>
      <w:pPr>
        <w:pStyle w:val="3"/>
        <w:spacing w:line="240" w:lineRule="atLeast"/>
        <w:jc w:val="both"/>
        <w:rPr>
          <w:rFonts w:hint="eastAsia" w:ascii="CESI黑体-GB2312" w:hAnsi="CESI黑体-GB2312" w:eastAsia="CESI黑体-GB2312" w:cs="CESI黑体-GB2312"/>
          <w:b w:val="0"/>
          <w:bCs w:val="0"/>
          <w:sz w:val="36"/>
          <w:szCs w:val="36"/>
        </w:rPr>
      </w:pPr>
    </w:p>
    <w:p>
      <w:pPr>
        <w:spacing w:line="360" w:lineRule="auto"/>
        <w:jc w:val="left"/>
        <w:rPr>
          <w:rFonts w:ascii="仿宋" w:hAnsi="仿宋" w:eastAsia="仿宋"/>
          <w:sz w:val="28"/>
          <w:szCs w:val="28"/>
        </w:rPr>
      </w:pPr>
    </w:p>
    <w:p>
      <w:pPr>
        <w:spacing w:line="360" w:lineRule="auto"/>
        <w:jc w:val="left"/>
        <w:rPr>
          <w:rFonts w:ascii="仿宋" w:hAnsi="仿宋" w:eastAsia="仿宋"/>
          <w:sz w:val="28"/>
          <w:szCs w:val="28"/>
        </w:rPr>
      </w:pPr>
    </w:p>
    <w:p>
      <w:pPr>
        <w:spacing w:line="360" w:lineRule="auto"/>
        <w:jc w:val="left"/>
        <w:rPr>
          <w:rFonts w:ascii="仿宋" w:hAnsi="仿宋" w:eastAsia="仿宋"/>
          <w:sz w:val="28"/>
          <w:szCs w:val="28"/>
        </w:rPr>
      </w:pPr>
    </w:p>
    <w:p>
      <w:pPr>
        <w:pStyle w:val="40"/>
        <w:keepNext w:val="0"/>
        <w:keepLines w:val="0"/>
        <w:pageBreakBefore w:val="0"/>
        <w:widowControl/>
        <w:tabs>
          <w:tab w:val="right" w:leader="dot" w:pos="8300"/>
        </w:tabs>
        <w:kinsoku/>
        <w:wordWrap/>
        <w:overflowPunct/>
        <w:topLinePunct w:val="0"/>
        <w:autoSpaceDE/>
        <w:autoSpaceDN/>
        <w:bidi w:val="0"/>
        <w:adjustRightInd/>
        <w:snapToGrid/>
        <w:spacing w:line="560" w:lineRule="exact"/>
        <w:jc w:val="center"/>
        <w:textAlignment w:val="auto"/>
        <w:rPr>
          <w:rFonts w:hint="default" w:ascii="仿宋" w:hAnsi="仿宋" w:eastAsia="仿宋"/>
          <w:sz w:val="28"/>
          <w:szCs w:val="28"/>
        </w:rPr>
      </w:pPr>
      <w:bookmarkStart w:id="30" w:name="_Toc85389544"/>
      <w:r>
        <w:rPr>
          <w:rFonts w:hint="default" w:ascii="仿宋" w:hAnsi="仿宋" w:eastAsia="仿宋"/>
          <w:sz w:val="28"/>
          <w:szCs w:val="28"/>
        </w:rPr>
        <w:t xml:space="preserve"> </w:t>
      </w:r>
    </w:p>
    <w:p>
      <w:pPr>
        <w:pStyle w:val="40"/>
        <w:keepNext w:val="0"/>
        <w:keepLines w:val="0"/>
        <w:pageBreakBefore w:val="0"/>
        <w:widowControl/>
        <w:tabs>
          <w:tab w:val="right" w:leader="dot" w:pos="8300"/>
        </w:tabs>
        <w:kinsoku/>
        <w:wordWrap/>
        <w:overflowPunct/>
        <w:topLinePunct w:val="0"/>
        <w:autoSpaceDE/>
        <w:autoSpaceDN/>
        <w:bidi w:val="0"/>
        <w:adjustRightInd/>
        <w:snapToGrid/>
        <w:spacing w:line="560" w:lineRule="exact"/>
        <w:jc w:val="center"/>
        <w:textAlignment w:val="auto"/>
        <w:rPr>
          <w:rFonts w:hint="default" w:ascii="仿宋" w:hAnsi="仿宋" w:eastAsia="仿宋"/>
          <w:sz w:val="28"/>
          <w:szCs w:val="28"/>
        </w:rPr>
      </w:pPr>
    </w:p>
    <w:p>
      <w:pPr>
        <w:pStyle w:val="40"/>
        <w:keepNext w:val="0"/>
        <w:keepLines w:val="0"/>
        <w:pageBreakBefore w:val="0"/>
        <w:widowControl/>
        <w:tabs>
          <w:tab w:val="right" w:leader="dot" w:pos="8300"/>
        </w:tabs>
        <w:kinsoku/>
        <w:wordWrap/>
        <w:overflowPunct/>
        <w:topLinePunct w:val="0"/>
        <w:autoSpaceDE/>
        <w:autoSpaceDN/>
        <w:bidi w:val="0"/>
        <w:adjustRightInd/>
        <w:snapToGrid/>
        <w:spacing w:line="560" w:lineRule="exact"/>
        <w:jc w:val="center"/>
        <w:textAlignment w:val="auto"/>
        <w:rPr>
          <w:rFonts w:hint="default" w:ascii="仿宋" w:hAnsi="仿宋" w:eastAsia="仿宋"/>
          <w:sz w:val="28"/>
          <w:szCs w:val="28"/>
        </w:rPr>
      </w:pPr>
    </w:p>
    <w:p>
      <w:pPr>
        <w:pStyle w:val="40"/>
        <w:keepNext w:val="0"/>
        <w:keepLines w:val="0"/>
        <w:pageBreakBefore w:val="0"/>
        <w:widowControl/>
        <w:tabs>
          <w:tab w:val="right" w:leader="dot" w:pos="8300"/>
        </w:tabs>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CESI黑体-GB2312"/>
          <w:b w:val="0"/>
          <w:sz w:val="36"/>
          <w:szCs w:val="36"/>
          <w:lang w:eastAsia="zh-CN"/>
        </w:rPr>
      </w:pPr>
      <w:sdt>
        <w:sdtPr>
          <w:rPr>
            <w:rFonts w:ascii="宋体" w:hAnsi="宋体" w:eastAsia="宋体" w:cstheme="minorBidi"/>
            <w:kern w:val="2"/>
            <w:sz w:val="21"/>
            <w:szCs w:val="24"/>
            <w:lang w:val="en-US" w:eastAsia="zh-CN" w:bidi="ar-SA"/>
          </w:rPr>
          <w:id w:val="52640731"/>
          <w:docPartObj>
            <w:docPartGallery w:val="Table of Contents"/>
            <w:docPartUnique/>
          </w:docPartObj>
        </w:sdtPr>
        <w:sdtEndPr>
          <w:rPr>
            <w:rFonts w:ascii="宋体" w:hAnsi="宋体" w:eastAsia="宋体" w:cstheme="minorBidi"/>
            <w:kern w:val="2"/>
            <w:sz w:val="20"/>
            <w:szCs w:val="20"/>
            <w:lang w:val="en-US" w:eastAsia="zh-CN" w:bidi="ar-SA"/>
          </w:rPr>
        </w:sdtEndPr>
        <w:sdtContent/>
      </w:sdt>
      <w:bookmarkStart w:id="31" w:name="_Toc1154891362_WPSOffice_Level1"/>
      <w:r>
        <w:rPr>
          <w:rFonts w:hint="eastAsia" w:ascii="黑体" w:hAnsi="黑体" w:eastAsia="黑体" w:cs="CESI黑体-GB2312"/>
          <w:b w:val="0"/>
          <w:sz w:val="36"/>
          <w:szCs w:val="36"/>
          <w:lang w:eastAsia="zh-CN"/>
        </w:rPr>
        <w:t>序</w:t>
      </w:r>
      <w:r>
        <w:rPr>
          <w:rFonts w:hint="eastAsia" w:ascii="黑体" w:hAnsi="黑体" w:eastAsia="黑体" w:cs="CESI黑体-GB2312"/>
          <w:b w:val="0"/>
          <w:sz w:val="36"/>
          <w:szCs w:val="36"/>
          <w:lang w:val="en-US" w:eastAsia="zh-CN"/>
        </w:rPr>
        <w:t xml:space="preserve"> </w:t>
      </w:r>
      <w:r>
        <w:rPr>
          <w:rFonts w:hint="eastAsia" w:ascii="黑体" w:hAnsi="黑体" w:eastAsia="黑体" w:cs="CESI黑体-GB2312"/>
          <w:b w:val="0"/>
          <w:sz w:val="36"/>
          <w:szCs w:val="36"/>
          <w:lang w:eastAsia="zh-CN"/>
        </w:rPr>
        <w:t>言</w:t>
      </w:r>
      <w:bookmarkEnd w:id="31"/>
    </w:p>
    <w:p>
      <w:pPr>
        <w:pStyle w:val="40"/>
        <w:keepNext w:val="0"/>
        <w:keepLines w:val="0"/>
        <w:pageBreakBefore w:val="0"/>
        <w:widowControl/>
        <w:tabs>
          <w:tab w:val="right" w:leader="dot" w:pos="8300"/>
        </w:tabs>
        <w:kinsoku/>
        <w:wordWrap/>
        <w:overflowPunct/>
        <w:topLinePunct w:val="0"/>
        <w:autoSpaceDE/>
        <w:autoSpaceDN/>
        <w:bidi w:val="0"/>
        <w:adjustRightInd/>
        <w:snapToGrid/>
        <w:spacing w:line="560" w:lineRule="exact"/>
        <w:jc w:val="center"/>
        <w:textAlignment w:val="auto"/>
        <w:rPr>
          <w:rFonts w:hint="eastAsia" w:ascii="黑体" w:hAnsi="黑体" w:eastAsia="黑体" w:cs="CESI黑体-GB2312"/>
          <w:b w:val="0"/>
          <w:sz w:val="36"/>
          <w:szCs w:val="36"/>
          <w:lang w:val="en-US" w:eastAsia="zh-CN"/>
        </w:rPr>
      </w:pP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金融业作为从事资金融通和信用活动的产业，在现代经济中发挥着资金融通、资源配置、发现价格、管理风险等重要功能。做优做强金融业，对于保障、支撑、促进、引领新旧动能转换和地方经济转型升级具有重要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CESI仿宋-GB2312" w:hAnsi="CESI仿宋-GB2312" w:eastAsia="CESI仿宋-GB2312" w:cs="CESI仿宋-GB2312"/>
          <w:sz w:val="28"/>
          <w:szCs w:val="28"/>
        </w:rPr>
      </w:pPr>
      <w:r>
        <w:rPr>
          <w:rFonts w:hint="eastAsia" w:ascii="CESI仿宋-GB2312" w:hAnsi="CESI仿宋-GB2312" w:eastAsia="CESI仿宋-GB2312" w:cs="CESI仿宋-GB2312"/>
          <w:sz w:val="32"/>
          <w:szCs w:val="32"/>
        </w:rPr>
        <w:t>为深入贯彻落实习近平新时代中国特色社会主义思想和习近平总书记关于金融工作重要讲话</w:t>
      </w:r>
      <w:r>
        <w:rPr>
          <w:rFonts w:hint="eastAsia" w:ascii="CESI仿宋-GB2312" w:hAnsi="CESI仿宋-GB2312" w:eastAsia="CESI仿宋-GB2312" w:cs="CESI仿宋-GB2312"/>
          <w:sz w:val="32"/>
          <w:szCs w:val="32"/>
          <w:lang w:eastAsia="zh-CN"/>
        </w:rPr>
        <w:t>、重要指示批示</w:t>
      </w:r>
      <w:r>
        <w:rPr>
          <w:rFonts w:hint="eastAsia" w:ascii="CESI仿宋-GB2312" w:hAnsi="CESI仿宋-GB2312" w:eastAsia="CESI仿宋-GB2312" w:cs="CESI仿宋-GB2312"/>
          <w:sz w:val="32"/>
          <w:szCs w:val="32"/>
        </w:rPr>
        <w:t>精神，推动金融业更好服务</w:t>
      </w:r>
      <w:r>
        <w:rPr>
          <w:rFonts w:hint="eastAsia" w:ascii="CESI仿宋-GB2312" w:hAnsi="CESI仿宋-GB2312" w:eastAsia="CESI仿宋-GB2312" w:cs="CESI仿宋-GB2312"/>
          <w:sz w:val="32"/>
          <w:szCs w:val="32"/>
          <w:lang w:eastAsia="zh-CN"/>
        </w:rPr>
        <w:t>聊城经济社会</w:t>
      </w:r>
      <w:r>
        <w:rPr>
          <w:rFonts w:hint="eastAsia" w:ascii="CESI仿宋-GB2312" w:hAnsi="CESI仿宋-GB2312" w:eastAsia="CESI仿宋-GB2312" w:cs="CESI仿宋-GB2312"/>
          <w:sz w:val="32"/>
          <w:szCs w:val="32"/>
        </w:rPr>
        <w:t>高质量发展，</w:t>
      </w:r>
      <w:r>
        <w:rPr>
          <w:rFonts w:hint="eastAsia" w:ascii="CESI仿宋-GB2312" w:hAnsi="CESI仿宋-GB2312" w:eastAsia="CESI仿宋-GB2312" w:cs="CESI仿宋-GB2312"/>
          <w:sz w:val="32"/>
          <w:szCs w:val="32"/>
          <w:lang w:eastAsia="zh-CN"/>
        </w:rPr>
        <w:t>根</w:t>
      </w:r>
      <w:r>
        <w:rPr>
          <w:rFonts w:hint="eastAsia" w:ascii="CESI仿宋-GB2312" w:hAnsi="CESI仿宋-GB2312" w:eastAsia="CESI仿宋-GB2312" w:cs="CESI仿宋-GB2312"/>
          <w:sz w:val="32"/>
          <w:szCs w:val="32"/>
        </w:rPr>
        <w:t>据《中华人民共和国国民经济和社会发展第十四个五年规划和2035年远景目标纲要》《山东省国民经济和社会发展第十四个五年规划和2035年远景目标纲要》</w:t>
      </w:r>
      <w:bookmarkStart w:id="32" w:name="OLE_LINK3"/>
      <w:bookmarkStart w:id="33" w:name="OLE_LINK4"/>
      <w:r>
        <w:rPr>
          <w:rFonts w:hint="eastAsia" w:ascii="CESI仿宋-GB2312" w:hAnsi="CESI仿宋-GB2312" w:eastAsia="CESI仿宋-GB2312" w:cs="CESI仿宋-GB2312"/>
          <w:sz w:val="32"/>
          <w:szCs w:val="32"/>
        </w:rPr>
        <w:t>《聊城市国民经济和社会发展第十四个五年规划和2035远景目标纲要》</w:t>
      </w:r>
      <w:bookmarkEnd w:id="32"/>
      <w:bookmarkEnd w:id="33"/>
      <w:r>
        <w:rPr>
          <w:rFonts w:hint="eastAsia" w:ascii="CESI仿宋-GB2312" w:hAnsi="CESI仿宋-GB2312" w:eastAsia="CESI仿宋-GB2312" w:cs="CESI仿宋-GB2312"/>
          <w:sz w:val="32"/>
          <w:szCs w:val="32"/>
        </w:rPr>
        <w:t>《山东省“十四五”金融业发展规划》</w:t>
      </w:r>
      <w:r>
        <w:rPr>
          <w:rFonts w:hint="eastAsia" w:ascii="CESI仿宋-GB2312" w:hAnsi="CESI仿宋-GB2312" w:eastAsia="CESI仿宋-GB2312" w:cs="CESI仿宋-GB2312"/>
          <w:sz w:val="32"/>
          <w:szCs w:val="32"/>
          <w:lang w:eastAsia="zh-CN"/>
        </w:rPr>
        <w:t>，研究制定本</w:t>
      </w:r>
      <w:r>
        <w:rPr>
          <w:rFonts w:hint="eastAsia" w:ascii="CESI仿宋-GB2312" w:hAnsi="CESI仿宋-GB2312" w:eastAsia="CESI仿宋-GB2312" w:cs="CESI仿宋-GB2312"/>
          <w:sz w:val="32"/>
          <w:szCs w:val="32"/>
        </w:rPr>
        <w:t>规划</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阐明聊城市金融业发展战略的总体思路、路径选择、重点领域、主要任务和保障措施等，实施期限从2021年到2025年。</w:t>
      </w:r>
    </w:p>
    <w:p>
      <w:pPr>
        <w:pStyle w:val="3"/>
        <w:pageBreakBefore w:val="0"/>
        <w:widowControl w:val="0"/>
        <w:kinsoku/>
        <w:wordWrap/>
        <w:overflowPunct/>
        <w:topLinePunct w:val="0"/>
        <w:autoSpaceDE/>
        <w:autoSpaceDN/>
        <w:bidi w:val="0"/>
        <w:adjustRightInd/>
        <w:snapToGrid/>
        <w:spacing w:line="560" w:lineRule="exact"/>
        <w:jc w:val="center"/>
        <w:textAlignment w:val="auto"/>
        <w:rPr>
          <w:rFonts w:ascii="CESI仿宋-GB2312" w:hAnsi="CESI仿宋-GB2312" w:eastAsia="CESI仿宋-GB2312" w:cs="CESI仿宋-GB2312"/>
          <w:b w:val="0"/>
          <w:bCs w:val="0"/>
          <w:szCs w:val="28"/>
        </w:rPr>
        <w:sectPr>
          <w:footerReference r:id="rId8" w:type="default"/>
          <w:pgSz w:w="11900" w:h="16840"/>
          <w:pgMar w:top="1440" w:right="1800" w:bottom="1440" w:left="1800" w:header="851" w:footer="992" w:gutter="0"/>
          <w:cols w:space="425" w:num="1"/>
          <w:docGrid w:type="lines" w:linePitch="312" w:charSpace="0"/>
        </w:sectPr>
      </w:pPr>
      <w:bookmarkStart w:id="34" w:name="_Toc85389527"/>
    </w:p>
    <w:bookmarkEnd w:id="34"/>
    <w:p>
      <w:pPr>
        <w:pStyle w:val="3"/>
        <w:keepNext/>
        <w:keepLines/>
        <w:pageBreakBefore w:val="0"/>
        <w:widowControl w:val="0"/>
        <w:numPr>
          <w:ilvl w:val="0"/>
          <w:numId w:val="1"/>
        </w:numPr>
        <w:kinsoku/>
        <w:wordWrap/>
        <w:overflowPunct/>
        <w:topLinePunct w:val="0"/>
        <w:autoSpaceDE/>
        <w:autoSpaceDN/>
        <w:bidi w:val="0"/>
        <w:adjustRightInd/>
        <w:snapToGrid/>
        <w:spacing w:line="560" w:lineRule="exact"/>
        <w:ind w:left="720" w:leftChars="0" w:firstLine="0" w:firstLineChars="0"/>
        <w:jc w:val="both"/>
        <w:textAlignment w:val="auto"/>
        <w:rPr>
          <w:rFonts w:hint="eastAsia" w:ascii="黑体" w:hAnsi="黑体" w:eastAsia="黑体" w:cs="CESI黑体-GB2312"/>
          <w:b w:val="0"/>
          <w:sz w:val="36"/>
          <w:szCs w:val="36"/>
        </w:rPr>
      </w:pPr>
      <w:bookmarkStart w:id="35" w:name="_Toc85389534"/>
      <w:r>
        <w:rPr>
          <w:rFonts w:hint="eastAsia" w:ascii="黑体" w:hAnsi="黑体" w:eastAsia="黑体" w:cs="CESI黑体-GB2312"/>
          <w:b w:val="0"/>
          <w:sz w:val="36"/>
          <w:szCs w:val="36"/>
          <w:lang w:val="en-US" w:eastAsia="zh-CN"/>
        </w:rPr>
        <w:t xml:space="preserve"> </w:t>
      </w:r>
      <w:bookmarkStart w:id="36" w:name="_Toc849758390_WPSOffice_Level1"/>
      <w:r>
        <w:rPr>
          <w:rFonts w:hint="eastAsia" w:ascii="黑体" w:hAnsi="黑体" w:eastAsia="黑体" w:cs="CESI黑体-GB2312"/>
          <w:b w:val="0"/>
          <w:sz w:val="36"/>
          <w:szCs w:val="36"/>
        </w:rPr>
        <w:t>聊城市金融业发展基础和环境</w:t>
      </w:r>
      <w:bookmarkEnd w:id="36"/>
    </w:p>
    <w:p>
      <w:pPr>
        <w:numPr>
          <w:ilvl w:val="0"/>
          <w:numId w:val="0"/>
        </w:numPr>
        <w:ind w:left="720" w:leftChars="0"/>
      </w:pPr>
    </w:p>
    <w:p>
      <w:pPr>
        <w:keepNext/>
        <w:keepLines/>
        <w:pageBreakBefore w:val="0"/>
        <w:widowControl w:val="0"/>
        <w:numPr>
          <w:ilvl w:val="0"/>
          <w:numId w:val="2"/>
        </w:numPr>
        <w:kinsoku/>
        <w:wordWrap/>
        <w:overflowPunct/>
        <w:topLinePunct w:val="0"/>
        <w:autoSpaceDE/>
        <w:autoSpaceDN/>
        <w:bidi w:val="0"/>
        <w:adjustRightInd/>
        <w:snapToGrid/>
        <w:spacing w:before="0" w:after="0" w:line="600" w:lineRule="exact"/>
        <w:ind w:firstLine="640" w:firstLineChars="200"/>
        <w:jc w:val="center"/>
        <w:textAlignment w:val="auto"/>
        <w:outlineLvl w:val="0"/>
        <w:rPr>
          <w:rFonts w:hint="eastAsia" w:ascii="黑体" w:hAnsi="黑体" w:eastAsia="黑体" w:cs="黑体"/>
          <w:b w:val="0"/>
          <w:bCs w:val="0"/>
          <w:snapToGrid w:val="0"/>
          <w:kern w:val="0"/>
          <w:sz w:val="32"/>
          <w:szCs w:val="32"/>
          <w:lang w:val="en-US" w:eastAsia="zh-CN" w:bidi="ar-SA"/>
        </w:rPr>
      </w:pPr>
      <w:bookmarkStart w:id="37" w:name="_Toc85389528"/>
      <w:r>
        <w:rPr>
          <w:rFonts w:hint="eastAsia" w:ascii="黑体" w:hAnsi="黑体" w:eastAsia="黑体" w:cs="黑体"/>
          <w:b w:val="0"/>
          <w:bCs w:val="0"/>
          <w:snapToGrid w:val="0"/>
          <w:kern w:val="0"/>
          <w:sz w:val="32"/>
          <w:szCs w:val="32"/>
          <w:lang w:val="en-US" w:eastAsia="zh-CN" w:bidi="ar-SA"/>
        </w:rPr>
        <w:t xml:space="preserve"> </w:t>
      </w:r>
      <w:bookmarkStart w:id="38" w:name="_Toc349845763_WPSOffice_Level2"/>
      <w:r>
        <w:rPr>
          <w:rFonts w:hint="eastAsia" w:ascii="黑体" w:hAnsi="黑体" w:eastAsia="黑体" w:cs="黑体"/>
          <w:b w:val="0"/>
          <w:bCs w:val="0"/>
          <w:snapToGrid w:val="0"/>
          <w:kern w:val="0"/>
          <w:sz w:val="32"/>
          <w:szCs w:val="32"/>
          <w:lang w:val="en-US" w:eastAsia="zh-CN" w:bidi="ar-SA"/>
        </w:rPr>
        <w:t>“十三五”时期金融业发展回顾</w:t>
      </w:r>
      <w:bookmarkEnd w:id="38"/>
    </w:p>
    <w:p>
      <w:pPr>
        <w:pStyle w:val="5"/>
        <w:numPr>
          <w:ilvl w:val="0"/>
          <w:numId w:val="0"/>
        </w:numPr>
        <w:rPr>
          <w:lang w:val="en-US" w:eastAsia="zh-CN"/>
        </w:rPr>
      </w:pPr>
    </w:p>
    <w:bookmarkEnd w:id="37"/>
    <w:p>
      <w:pPr>
        <w:pStyle w:val="4"/>
        <w:keepNext/>
        <w:keepLines/>
        <w:pageBreakBefore w:val="0"/>
        <w:widowControl w:val="0"/>
        <w:kinsoku/>
        <w:wordWrap/>
        <w:overflowPunct/>
        <w:topLinePunct w:val="0"/>
        <w:autoSpaceDE/>
        <w:autoSpaceDN/>
        <w:bidi w:val="0"/>
        <w:adjustRightInd/>
        <w:snapToGrid/>
        <w:spacing w:line="600" w:lineRule="exact"/>
        <w:ind w:firstLine="640"/>
        <w:jc w:val="both"/>
        <w:textAlignment w:val="auto"/>
        <w:rPr>
          <w:rFonts w:ascii="CESI仿宋-GB2312" w:hAnsi="CESI仿宋-GB2312" w:eastAsia="CESI仿宋-GB2312" w:cs="CESI仿宋-GB2312"/>
          <w:b w:val="0"/>
          <w:bCs w:val="0"/>
          <w:sz w:val="32"/>
          <w:szCs w:val="32"/>
        </w:rPr>
      </w:pPr>
      <w:bookmarkStart w:id="39" w:name="_Toc85389529"/>
      <w:r>
        <w:rPr>
          <w:rFonts w:hint="eastAsia" w:ascii="楷体" w:hAnsi="楷体" w:eastAsia="楷体" w:cs="CESI楷体-GB2312"/>
          <w:b w:val="0"/>
          <w:sz w:val="32"/>
          <w:szCs w:val="32"/>
        </w:rPr>
        <w:t>（一）金融业总体规模不断扩大</w:t>
      </w:r>
      <w:bookmarkEnd w:id="39"/>
      <w:r>
        <w:rPr>
          <w:rFonts w:hint="eastAsia" w:ascii="楷体" w:hAnsi="楷体" w:eastAsia="楷体" w:cs="CESI楷体-GB2312"/>
          <w:b w:val="0"/>
          <w:sz w:val="32"/>
          <w:szCs w:val="32"/>
        </w:rPr>
        <w:t>。</w:t>
      </w:r>
      <w:r>
        <w:rPr>
          <w:rFonts w:hint="eastAsia" w:ascii="仿宋_GB2312" w:eastAsia="仿宋_GB2312" w:cs="Times New Roman" w:hAnsiTheme="minorHAnsi"/>
          <w:b w:val="0"/>
          <w:bCs w:val="0"/>
          <w:i w:val="0"/>
          <w:iCs w:val="0"/>
          <w:color w:val="000000"/>
          <w:kern w:val="2"/>
          <w:sz w:val="32"/>
          <w:szCs w:val="32"/>
          <w:lang w:val="en-US" w:eastAsia="zh-CN" w:bidi="ar-SA"/>
        </w:rPr>
        <w:t>金融在全市经济发展中的支撑和保障作用进一步显现，占GDP的比重和对地方经济发展的贡献度不断提高，已发展成为我市重要产业。2020年，全市金融业增加值达到155.83亿元，“十三五”期间年均增长7.63%；占地区生产总值的比重达到6.7%、比2015年提高2.65个百分点，占服务业增加值的比重达到13.1%、比2015年提高2.17个百分点。2020年末，全市社会融资规模存量达到4385.38亿元；全市金融业实现税收收入17.48亿元，占全市税收收入的十二分之一。金融从业人员稳定在5万人左右，成为全社会稳就业的重要力量。</w:t>
      </w:r>
    </w:p>
    <w:p>
      <w:pPr>
        <w:autoSpaceDE w:val="0"/>
        <w:autoSpaceDN w:val="0"/>
        <w:adjustRightInd w:val="0"/>
        <w:spacing w:line="360" w:lineRule="auto"/>
        <w:jc w:val="left"/>
        <w:rPr>
          <w:rFonts w:ascii="仿宋" w:hAnsi="仿宋" w:eastAsia="仿宋" w:cs="Helvetica"/>
          <w:color w:val="000000"/>
          <w:kern w:val="0"/>
          <w:sz w:val="28"/>
          <w:szCs w:val="28"/>
        </w:rPr>
      </w:pPr>
      <w:r>
        <w:rPr>
          <w:rFonts w:ascii="仿宋" w:hAnsi="仿宋" w:eastAsia="仿宋"/>
          <w:sz w:val="28"/>
          <w:szCs w:val="28"/>
        </w:rPr>
        <w:drawing>
          <wp:inline distT="0" distB="0" distL="114300" distR="114300">
            <wp:extent cx="5266055" cy="3033395"/>
            <wp:effectExtent l="4445" t="4445" r="6350" b="10160"/>
            <wp:docPr id="102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4"/>
        <w:keepNext/>
        <w:keepLines/>
        <w:pageBreakBefore w:val="0"/>
        <w:widowControl w:val="0"/>
        <w:kinsoku/>
        <w:wordWrap/>
        <w:overflowPunct/>
        <w:topLinePunct w:val="0"/>
        <w:autoSpaceDE/>
        <w:autoSpaceDN/>
        <w:bidi w:val="0"/>
        <w:adjustRightInd/>
        <w:snapToGrid/>
        <w:spacing w:line="600" w:lineRule="exact"/>
        <w:jc w:val="both"/>
        <w:textAlignment w:val="auto"/>
        <w:rPr>
          <w:rFonts w:ascii="仿宋" w:hAnsi="仿宋" w:eastAsia="仿宋" w:cs="仿宋"/>
          <w:b w:val="0"/>
          <w:bCs w:val="0"/>
          <w:sz w:val="32"/>
          <w:szCs w:val="32"/>
        </w:rPr>
      </w:pPr>
      <w:bookmarkStart w:id="40" w:name="_Toc85389530"/>
      <w:r>
        <w:rPr>
          <w:rFonts w:hint="eastAsia" w:ascii="楷体" w:hAnsi="楷体" w:eastAsia="楷体" w:cs="CESI楷体-GB2312"/>
          <w:b w:val="0"/>
          <w:sz w:val="32"/>
          <w:szCs w:val="32"/>
          <w:lang w:eastAsia="zh-CN"/>
        </w:rPr>
        <w:t>（</w:t>
      </w:r>
      <w:r>
        <w:rPr>
          <w:rFonts w:hint="eastAsia" w:ascii="楷体" w:hAnsi="楷体" w:eastAsia="楷体" w:cs="CESI楷体-GB2312"/>
          <w:b w:val="0"/>
          <w:sz w:val="32"/>
          <w:szCs w:val="32"/>
        </w:rPr>
        <w:t>二）金融组织体系日趋完善</w:t>
      </w:r>
      <w:bookmarkEnd w:id="40"/>
      <w:r>
        <w:rPr>
          <w:rFonts w:hint="eastAsia" w:ascii="楷体" w:hAnsi="楷体" w:eastAsia="楷体" w:cs="CESI楷体-GB2312"/>
          <w:b w:val="0"/>
          <w:sz w:val="32"/>
          <w:szCs w:val="32"/>
        </w:rPr>
        <w:t>。</w:t>
      </w:r>
      <w:r>
        <w:rPr>
          <w:rFonts w:hint="eastAsia" w:ascii="仿宋_GB2312" w:eastAsia="仿宋_GB2312" w:cs="Times New Roman" w:hAnsiTheme="minorHAnsi"/>
          <w:b w:val="0"/>
          <w:bCs w:val="0"/>
          <w:i w:val="0"/>
          <w:iCs w:val="0"/>
          <w:color w:val="000000"/>
          <w:kern w:val="2"/>
          <w:sz w:val="32"/>
          <w:szCs w:val="32"/>
          <w:lang w:val="en-US" w:eastAsia="zh-CN" w:bidi="ar-SA"/>
        </w:rPr>
        <w:t>金融机构类别和数量不断增加，形成了以银行、证券、保险机构为主体，其他金融机构和组织为补充，覆盖全市的金融服务体系。“十三五”期间，共有威海银行、民生银行、光大银行、日照银行、济宁银行、光大证券、安信证券、安邦人寿、中煤财险等26家金融机构先后在我市设立分支机构，市级银行业机构达到23家，保险公司达到56家，证券公司达到14家。地方金融组织健康发展，2020年末全市共有小额贷款公司17家、民间融资机构15家、融资担保机构14家、典当行8家，日渐成为金融体系的重要组成部分。</w:t>
      </w:r>
    </w:p>
    <w:p>
      <w:pPr>
        <w:spacing w:line="360" w:lineRule="auto"/>
        <w:rPr>
          <w:rFonts w:ascii="仿宋" w:hAnsi="仿宋" w:eastAsia="仿宋"/>
          <w:sz w:val="28"/>
          <w:szCs w:val="28"/>
        </w:rPr>
      </w:pPr>
      <w:r>
        <w:rPr>
          <w:rFonts w:ascii="仿宋" w:hAnsi="仿宋" w:eastAsia="仿宋"/>
          <w:sz w:val="28"/>
          <w:szCs w:val="28"/>
        </w:rPr>
        <w:drawing>
          <wp:inline distT="0" distB="0" distL="114300" distR="114300">
            <wp:extent cx="5270500" cy="2794000"/>
            <wp:effectExtent l="4445" t="4445" r="20955" b="2095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ascii="仿宋" w:hAnsi="仿宋" w:eastAsia="仿宋" w:cs="仿宋_GB2312"/>
          <w:sz w:val="28"/>
          <w:szCs w:val="28"/>
        </w:rPr>
        <w:drawing>
          <wp:inline distT="0" distB="0" distL="114300" distR="114300">
            <wp:extent cx="5270500" cy="2938780"/>
            <wp:effectExtent l="0" t="0" r="6350" b="13970"/>
            <wp:docPr id="3" name="图片 3"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3"/>
                    <pic:cNvPicPr>
                      <a:picLocks noChangeAspect="1"/>
                    </pic:cNvPicPr>
                  </pic:nvPicPr>
                  <pic:blipFill>
                    <a:blip r:embed="rId13"/>
                    <a:stretch>
                      <a:fillRect/>
                    </a:stretch>
                  </pic:blipFill>
                  <pic:spPr>
                    <a:xfrm>
                      <a:off x="0" y="0"/>
                      <a:ext cx="5270500" cy="2938780"/>
                    </a:xfrm>
                    <a:prstGeom prst="rect">
                      <a:avLst/>
                    </a:prstGeom>
                  </pic:spPr>
                </pic:pic>
              </a:graphicData>
            </a:graphic>
          </wp:inline>
        </w:drawing>
      </w:r>
    </w:p>
    <w:p>
      <w:pPr>
        <w:spacing w:line="360" w:lineRule="auto"/>
        <w:rPr>
          <w:rFonts w:ascii="仿宋" w:hAnsi="仿宋" w:eastAsia="仿宋"/>
          <w:sz w:val="28"/>
          <w:szCs w:val="28"/>
        </w:rPr>
      </w:pPr>
    </w:p>
    <w:p>
      <w:pPr>
        <w:pStyle w:val="4"/>
        <w:pageBreakBefore w:val="0"/>
        <w:widowControl w:val="0"/>
        <w:kinsoku/>
        <w:wordWrap/>
        <w:overflowPunct/>
        <w:topLinePunct w:val="0"/>
        <w:autoSpaceDE/>
        <w:autoSpaceDN/>
        <w:bidi w:val="0"/>
        <w:adjustRightInd/>
        <w:snapToGrid/>
        <w:spacing w:line="600" w:lineRule="exact"/>
        <w:ind w:firstLine="640"/>
        <w:textAlignment w:val="auto"/>
        <w:rPr>
          <w:rFonts w:ascii="楷体" w:hAnsi="楷体" w:eastAsia="楷体" w:cs="CESI楷体-GB2312"/>
          <w:b w:val="0"/>
          <w:sz w:val="32"/>
          <w:szCs w:val="32"/>
        </w:rPr>
      </w:pPr>
      <w:bookmarkStart w:id="41" w:name="_Toc85389531"/>
      <w:r>
        <w:rPr>
          <w:rFonts w:hint="eastAsia" w:ascii="楷体" w:hAnsi="楷体" w:eastAsia="楷体" w:cs="CESI楷体-GB2312"/>
          <w:b w:val="0"/>
          <w:sz w:val="32"/>
          <w:szCs w:val="32"/>
        </w:rPr>
        <w:t>（三）主要金融指标增势良好</w:t>
      </w:r>
      <w:bookmarkEnd w:id="41"/>
      <w:r>
        <w:rPr>
          <w:rFonts w:hint="eastAsia" w:ascii="楷体" w:hAnsi="楷体" w:eastAsia="楷体" w:cs="CESI楷体-GB2312"/>
          <w:b w:val="0"/>
          <w:sz w:val="32"/>
          <w:szCs w:val="32"/>
        </w:rPr>
        <w:t>。</w:t>
      </w:r>
    </w:p>
    <w:p>
      <w:pPr>
        <w:pageBreakBefore w:val="0"/>
        <w:widowControl w:val="0"/>
        <w:kinsoku/>
        <w:wordWrap/>
        <w:overflowPunct/>
        <w:topLinePunct w:val="0"/>
        <w:autoSpaceDE/>
        <w:autoSpaceDN/>
        <w:bidi w:val="0"/>
        <w:adjustRightInd/>
        <w:snapToGrid/>
        <w:spacing w:line="600" w:lineRule="exact"/>
        <w:ind w:firstLine="560"/>
        <w:jc w:val="both"/>
        <w:textAlignment w:val="auto"/>
        <w:rPr>
          <w:rFonts w:hint="eastAsia" w:ascii="仿宋_GB2312" w:eastAsia="仿宋_GB2312" w:cs="Times New Roman" w:hAnsiTheme="minorHAnsi"/>
          <w:b w:val="0"/>
          <w:bCs w:val="0"/>
          <w:i w:val="0"/>
          <w:iCs w:val="0"/>
          <w:color w:val="000000"/>
          <w:kern w:val="2"/>
          <w:sz w:val="32"/>
          <w:szCs w:val="32"/>
          <w:lang w:val="en-US" w:eastAsia="zh-CN" w:bidi="ar-SA"/>
        </w:rPr>
      </w:pPr>
      <w:r>
        <w:rPr>
          <w:rFonts w:hint="eastAsia" w:ascii="仿宋_GB2312" w:eastAsia="仿宋_GB2312" w:cs="Times New Roman" w:hAnsiTheme="minorHAnsi"/>
          <w:b/>
          <w:bCs/>
          <w:i w:val="0"/>
          <w:iCs w:val="0"/>
          <w:color w:val="000000"/>
          <w:kern w:val="2"/>
          <w:sz w:val="32"/>
          <w:szCs w:val="32"/>
          <w:lang w:val="en-US" w:eastAsia="zh-CN" w:bidi="ar-SA"/>
        </w:rPr>
        <w:t>——银行业方面：</w:t>
      </w:r>
      <w:r>
        <w:rPr>
          <w:rFonts w:hint="eastAsia" w:ascii="仿宋_GB2312" w:eastAsia="仿宋_GB2312" w:cs="Times New Roman" w:hAnsiTheme="minorHAnsi"/>
          <w:b w:val="0"/>
          <w:bCs w:val="0"/>
          <w:i w:val="0"/>
          <w:iCs w:val="0"/>
          <w:color w:val="000000"/>
          <w:kern w:val="2"/>
          <w:sz w:val="32"/>
          <w:szCs w:val="32"/>
          <w:lang w:val="en-US" w:eastAsia="zh-CN" w:bidi="ar-SA"/>
        </w:rPr>
        <w:t>存贷款保持较快增长。截至2020年末，全市金融机构本外币存款余额4366.3亿元，贷款余额2885.8亿元，分别是2015年末的1.7倍和1.5倍。贷款利率全面下降，全市贷款加权平均利率6.11%，同比下降0.48个百分点，较2019年7月份改革前下降0.51个百分点。其中，企业贷款平均利率5.26%，同比下降0.42个百分点；新发放普惠小微企业贷款平均利率6.41%，同比下降0.82个百分点。</w:t>
      </w:r>
    </w:p>
    <w:p>
      <w:pPr>
        <w:pageBreakBefore w:val="0"/>
        <w:widowControl w:val="0"/>
        <w:kinsoku/>
        <w:wordWrap/>
        <w:overflowPunct/>
        <w:topLinePunct w:val="0"/>
        <w:autoSpaceDE/>
        <w:autoSpaceDN/>
        <w:bidi w:val="0"/>
        <w:adjustRightInd/>
        <w:snapToGrid/>
        <w:spacing w:line="600" w:lineRule="exact"/>
        <w:ind w:firstLine="560"/>
        <w:jc w:val="both"/>
        <w:textAlignment w:val="auto"/>
        <w:rPr>
          <w:rFonts w:hint="eastAsia" w:ascii="仿宋_GB2312" w:eastAsia="仿宋_GB2312" w:cs="Times New Roman" w:hAnsiTheme="minorHAnsi"/>
          <w:b w:val="0"/>
          <w:bCs w:val="0"/>
          <w:i w:val="0"/>
          <w:iCs w:val="0"/>
          <w:color w:val="000000"/>
          <w:kern w:val="2"/>
          <w:sz w:val="32"/>
          <w:szCs w:val="32"/>
          <w:lang w:val="en-US" w:eastAsia="zh-CN" w:bidi="ar-SA"/>
        </w:rPr>
      </w:pPr>
      <w:r>
        <w:rPr>
          <w:rFonts w:hint="eastAsia" w:ascii="仿宋_GB2312" w:eastAsia="仿宋_GB2312" w:cs="Times New Roman" w:hAnsiTheme="minorHAnsi"/>
          <w:b/>
          <w:bCs/>
          <w:i w:val="0"/>
          <w:iCs w:val="0"/>
          <w:color w:val="000000"/>
          <w:kern w:val="2"/>
          <w:sz w:val="32"/>
          <w:szCs w:val="32"/>
          <w:lang w:val="en-US" w:eastAsia="zh-CN" w:bidi="ar-SA"/>
        </w:rPr>
        <w:t>——保险业方面：</w:t>
      </w:r>
      <w:r>
        <w:rPr>
          <w:rFonts w:hint="eastAsia" w:ascii="仿宋_GB2312" w:eastAsia="仿宋_GB2312" w:cs="Times New Roman" w:hAnsiTheme="minorHAnsi"/>
          <w:b w:val="0"/>
          <w:bCs w:val="0"/>
          <w:i w:val="0"/>
          <w:iCs w:val="0"/>
          <w:color w:val="000000"/>
          <w:kern w:val="2"/>
          <w:sz w:val="32"/>
          <w:szCs w:val="32"/>
          <w:lang w:val="en-US" w:eastAsia="zh-CN" w:bidi="ar-SA"/>
        </w:rPr>
        <w:t>保险“稳定器”和“助推器”作用有效发挥。2020年，全市实现保费收入129.12亿元，是2015年的1.73倍，保险赔付支出39.91亿元，承担各类风险责任7.22万亿元。</w:t>
      </w:r>
    </w:p>
    <w:p>
      <w:pPr>
        <w:pageBreakBefore w:val="0"/>
        <w:widowControl w:val="0"/>
        <w:kinsoku/>
        <w:wordWrap/>
        <w:overflowPunct/>
        <w:topLinePunct w:val="0"/>
        <w:autoSpaceDE/>
        <w:autoSpaceDN/>
        <w:bidi w:val="0"/>
        <w:adjustRightInd/>
        <w:snapToGrid/>
        <w:spacing w:line="600" w:lineRule="exact"/>
        <w:ind w:firstLine="560"/>
        <w:jc w:val="both"/>
        <w:textAlignment w:val="auto"/>
        <w:rPr>
          <w:rFonts w:hint="eastAsia" w:ascii="仿宋_GB2312" w:eastAsia="仿宋_GB2312" w:cs="Times New Roman" w:hAnsiTheme="minorHAnsi"/>
          <w:b w:val="0"/>
          <w:bCs w:val="0"/>
          <w:i w:val="0"/>
          <w:iCs w:val="0"/>
          <w:color w:val="000000"/>
          <w:kern w:val="2"/>
          <w:sz w:val="32"/>
          <w:szCs w:val="32"/>
          <w:lang w:val="en-US" w:eastAsia="zh-CN" w:bidi="ar-SA"/>
        </w:rPr>
      </w:pPr>
      <w:r>
        <w:rPr>
          <w:rFonts w:hint="eastAsia" w:ascii="仿宋_GB2312" w:eastAsia="仿宋_GB2312" w:cs="Times New Roman" w:hAnsiTheme="minorHAnsi"/>
          <w:b/>
          <w:bCs/>
          <w:i w:val="0"/>
          <w:iCs w:val="0"/>
          <w:color w:val="000000"/>
          <w:kern w:val="2"/>
          <w:sz w:val="32"/>
          <w:szCs w:val="32"/>
          <w:lang w:val="en-US" w:eastAsia="zh-CN" w:bidi="ar-SA"/>
        </w:rPr>
        <w:t>——证券及资本市场方面：</w:t>
      </w:r>
      <w:r>
        <w:rPr>
          <w:rFonts w:hint="eastAsia" w:ascii="仿宋_GB2312" w:eastAsia="仿宋_GB2312" w:cs="Times New Roman" w:hAnsiTheme="minorHAnsi"/>
          <w:b w:val="0"/>
          <w:bCs w:val="0"/>
          <w:i w:val="0"/>
          <w:iCs w:val="0"/>
          <w:color w:val="000000"/>
          <w:kern w:val="2"/>
          <w:sz w:val="32"/>
          <w:szCs w:val="32"/>
          <w:lang w:val="en-US" w:eastAsia="zh-CN" w:bidi="ar-SA"/>
        </w:rPr>
        <w:t>多层次资本市场加速发展。山东凤祥股份在港交所成功上市，全市境内外上市公司数量达到5家（主板市场3家、创业板1家、境外上市1家），总市值达到718亿元。嘉华股份、乖宝宠物等3家企业正在山东证监局辅导备案，数量为历年来最多。2020年全市实现直接融资额169.16亿元，是2015年的1.9倍。</w:t>
      </w:r>
    </w:p>
    <w:p>
      <w:pPr>
        <w:pageBreakBefore w:val="0"/>
        <w:widowControl w:val="0"/>
        <w:kinsoku/>
        <w:wordWrap/>
        <w:overflowPunct/>
        <w:topLinePunct w:val="0"/>
        <w:autoSpaceDE/>
        <w:autoSpaceDN/>
        <w:bidi w:val="0"/>
        <w:adjustRightInd/>
        <w:snapToGrid/>
        <w:spacing w:line="600" w:lineRule="exact"/>
        <w:ind w:firstLine="560"/>
        <w:jc w:val="both"/>
        <w:textAlignment w:val="auto"/>
        <w:rPr>
          <w:rFonts w:hint="eastAsia" w:ascii="仿宋_GB2312" w:eastAsia="仿宋_GB2312" w:cs="Times New Roman" w:hAnsiTheme="minorHAnsi"/>
          <w:b w:val="0"/>
          <w:bCs w:val="0"/>
          <w:i w:val="0"/>
          <w:iCs w:val="0"/>
          <w:color w:val="000000"/>
          <w:kern w:val="2"/>
          <w:sz w:val="32"/>
          <w:szCs w:val="32"/>
          <w:lang w:val="en-US" w:eastAsia="zh-CN" w:bidi="ar-SA"/>
        </w:rPr>
      </w:pPr>
      <w:r>
        <w:rPr>
          <w:rFonts w:hint="eastAsia" w:ascii="仿宋_GB2312" w:eastAsia="仿宋_GB2312" w:cs="Times New Roman" w:hAnsiTheme="minorHAnsi"/>
          <w:b/>
          <w:bCs/>
          <w:i w:val="0"/>
          <w:iCs w:val="0"/>
          <w:color w:val="000000"/>
          <w:kern w:val="2"/>
          <w:sz w:val="32"/>
          <w:szCs w:val="32"/>
          <w:lang w:val="en-US" w:eastAsia="zh-CN" w:bidi="ar-SA"/>
        </w:rPr>
        <w:t>——地方金融方面：</w:t>
      </w:r>
      <w:r>
        <w:rPr>
          <w:rFonts w:hint="eastAsia" w:ascii="仿宋_GB2312" w:eastAsia="仿宋_GB2312" w:cs="Times New Roman" w:hAnsiTheme="minorHAnsi"/>
          <w:b w:val="0"/>
          <w:bCs w:val="0"/>
          <w:i w:val="0"/>
          <w:iCs w:val="0"/>
          <w:color w:val="000000"/>
          <w:kern w:val="2"/>
          <w:sz w:val="32"/>
          <w:szCs w:val="32"/>
          <w:lang w:val="en-US" w:eastAsia="zh-CN" w:bidi="ar-SA"/>
        </w:rPr>
        <w:t>2020年，全市共有小额贷款公司、融资性担保机构、典当行等54家地方金融组织，注册资本共计69.25亿元，为企业等各类经济主体提供贷款、投资、担保等各类融资支持达78.57亿元，日渐成为金融体系的重要组成部分，有力支持我市“三农”和小微企业发展。</w:t>
      </w:r>
    </w:p>
    <w:p>
      <w:pPr>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eastAsia="仿宋_GB2312" w:cs="Times New Roman" w:hAnsiTheme="minorHAnsi"/>
          <w:b w:val="0"/>
          <w:bCs w:val="0"/>
          <w:i w:val="0"/>
          <w:iCs w:val="0"/>
          <w:color w:val="000000"/>
          <w:kern w:val="2"/>
          <w:sz w:val="32"/>
          <w:szCs w:val="32"/>
          <w:lang w:val="en-US" w:eastAsia="zh-CN" w:bidi="ar-SA"/>
        </w:rPr>
      </w:pPr>
      <w:bookmarkStart w:id="42" w:name="_Toc85389532"/>
      <w:r>
        <w:rPr>
          <w:rFonts w:hint="eastAsia" w:ascii="楷体" w:hAnsi="楷体" w:eastAsia="楷体" w:cs="CESI楷体-GB2312"/>
          <w:sz w:val="32"/>
          <w:szCs w:val="32"/>
        </w:rPr>
        <w:t>（四）金融改革创新深入推进</w:t>
      </w:r>
      <w:bookmarkEnd w:id="42"/>
      <w:r>
        <w:rPr>
          <w:rFonts w:hint="eastAsia" w:ascii="楷体" w:hAnsi="楷体" w:eastAsia="楷体" w:cs="CESI楷体-GB2312"/>
          <w:sz w:val="32"/>
          <w:szCs w:val="32"/>
        </w:rPr>
        <w:t>。</w:t>
      </w:r>
      <w:r>
        <w:rPr>
          <w:rFonts w:hint="eastAsia" w:ascii="仿宋_GB2312" w:eastAsia="仿宋_GB2312" w:cs="Times New Roman" w:hAnsiTheme="minorHAnsi"/>
          <w:b w:val="0"/>
          <w:bCs w:val="0"/>
          <w:i w:val="0"/>
          <w:iCs w:val="0"/>
          <w:color w:val="000000"/>
          <w:kern w:val="2"/>
          <w:sz w:val="32"/>
          <w:szCs w:val="32"/>
          <w:lang w:val="en-US" w:eastAsia="zh-CN" w:bidi="ar-SA"/>
        </w:rPr>
        <w:t>山东凤祥股份在港交所成功上市，结束了我市近十年来没有新增上市公司的历史。出台《关于加快聊城市金融产业高质量发展的意见》，制定促进各类金融机构集聚发展等</w:t>
      </w:r>
      <w:r>
        <w:rPr>
          <w:rFonts w:hint="eastAsia" w:ascii="仿宋_GB2312" w:eastAsia="仿宋_GB2312" w:cs="Times New Roman"/>
          <w:b w:val="0"/>
          <w:bCs w:val="0"/>
          <w:i w:val="0"/>
          <w:iCs w:val="0"/>
          <w:color w:val="000000"/>
          <w:kern w:val="2"/>
          <w:sz w:val="32"/>
          <w:szCs w:val="32"/>
          <w:lang w:val="en-US" w:eastAsia="zh-CN" w:bidi="ar-SA"/>
        </w:rPr>
        <w:t>“</w:t>
      </w:r>
      <w:r>
        <w:rPr>
          <w:rFonts w:hint="eastAsia" w:ascii="仿宋_GB2312" w:eastAsia="仿宋_GB2312" w:cs="Times New Roman" w:hAnsiTheme="minorHAnsi"/>
          <w:b w:val="0"/>
          <w:bCs w:val="0"/>
          <w:i w:val="0"/>
          <w:iCs w:val="0"/>
          <w:color w:val="000000"/>
          <w:kern w:val="2"/>
          <w:sz w:val="32"/>
          <w:szCs w:val="32"/>
          <w:lang w:val="en-US" w:eastAsia="zh-CN" w:bidi="ar-SA"/>
        </w:rPr>
        <w:t>七大板块</w:t>
      </w:r>
      <w:r>
        <w:rPr>
          <w:rFonts w:hint="eastAsia" w:ascii="仿宋_GB2312" w:eastAsia="仿宋_GB2312" w:cs="Times New Roman"/>
          <w:b w:val="0"/>
          <w:bCs w:val="0"/>
          <w:i w:val="0"/>
          <w:iCs w:val="0"/>
          <w:color w:val="000000"/>
          <w:kern w:val="2"/>
          <w:sz w:val="32"/>
          <w:szCs w:val="32"/>
          <w:lang w:val="en-US" w:eastAsia="zh-CN" w:bidi="ar-SA"/>
        </w:rPr>
        <w:t>”</w:t>
      </w:r>
      <w:r>
        <w:rPr>
          <w:rFonts w:hint="eastAsia" w:ascii="仿宋_GB2312" w:eastAsia="仿宋_GB2312" w:cs="Times New Roman" w:hAnsiTheme="minorHAnsi"/>
          <w:b w:val="0"/>
          <w:bCs w:val="0"/>
          <w:i w:val="0"/>
          <w:iCs w:val="0"/>
          <w:color w:val="000000"/>
          <w:kern w:val="2"/>
          <w:sz w:val="32"/>
          <w:szCs w:val="32"/>
          <w:lang w:val="en-US" w:eastAsia="zh-CN" w:bidi="ar-SA"/>
        </w:rPr>
        <w:t>支持政策，为金融产业发展奠定良好政策基础。“金融工作日”“金融大集”“金融超市”等新型银企对接不断呈现，政金企多方沟通和信息共享不断加深。认真贯彻落实扶贫小额信贷、扶贫贴息贷款等金融扶贫政策，选派爱农村、爱农民、懂农业的金融干部到乡镇挂职，创新推出“西瓜贷”“养羊贷”等新型金融产品，金融扶贫</w:t>
      </w:r>
      <w:r>
        <w:rPr>
          <w:rFonts w:hint="eastAsia" w:ascii="仿宋_GB2312" w:eastAsia="仿宋_GB2312" w:cs="Times New Roman"/>
          <w:b w:val="0"/>
          <w:bCs w:val="0"/>
          <w:i w:val="0"/>
          <w:iCs w:val="0"/>
          <w:color w:val="000000"/>
          <w:kern w:val="2"/>
          <w:sz w:val="32"/>
          <w:szCs w:val="32"/>
          <w:lang w:val="en-US" w:eastAsia="zh-CN" w:bidi="ar-SA"/>
        </w:rPr>
        <w:t>更加</w:t>
      </w:r>
      <w:r>
        <w:rPr>
          <w:rFonts w:hint="eastAsia" w:ascii="仿宋_GB2312" w:eastAsia="仿宋_GB2312" w:cs="Times New Roman" w:hAnsiTheme="minorHAnsi"/>
          <w:b w:val="0"/>
          <w:bCs w:val="0"/>
          <w:i w:val="0"/>
          <w:iCs w:val="0"/>
          <w:color w:val="000000"/>
          <w:kern w:val="2"/>
          <w:sz w:val="32"/>
          <w:szCs w:val="32"/>
          <w:lang w:val="en-US" w:eastAsia="zh-CN" w:bidi="ar-SA"/>
        </w:rPr>
        <w:t>精准</w:t>
      </w:r>
      <w:r>
        <w:rPr>
          <w:rFonts w:hint="eastAsia" w:ascii="仿宋_GB2312" w:eastAsia="仿宋_GB2312" w:cs="Times New Roman"/>
          <w:b w:val="0"/>
          <w:bCs w:val="0"/>
          <w:i w:val="0"/>
          <w:iCs w:val="0"/>
          <w:color w:val="000000"/>
          <w:kern w:val="2"/>
          <w:sz w:val="32"/>
          <w:szCs w:val="32"/>
          <w:lang w:val="en-US" w:eastAsia="zh-CN" w:bidi="ar-SA"/>
        </w:rPr>
        <w:t>高效</w:t>
      </w:r>
      <w:r>
        <w:rPr>
          <w:rFonts w:hint="eastAsia" w:ascii="仿宋_GB2312" w:eastAsia="仿宋_GB2312" w:cs="Times New Roman" w:hAnsiTheme="minorHAnsi"/>
          <w:b w:val="0"/>
          <w:bCs w:val="0"/>
          <w:i w:val="0"/>
          <w:iCs w:val="0"/>
          <w:color w:val="000000"/>
          <w:kern w:val="2"/>
          <w:sz w:val="32"/>
          <w:szCs w:val="32"/>
          <w:lang w:val="en-US" w:eastAsia="zh-CN" w:bidi="ar-SA"/>
        </w:rPr>
        <w:t>。深入贯彻落实“人才贷”</w:t>
      </w:r>
      <w:r>
        <w:rPr>
          <w:rFonts w:hint="eastAsia" w:ascii="仿宋_GB2312" w:eastAsia="仿宋_GB2312" w:cs="Times New Roman"/>
          <w:b w:val="0"/>
          <w:bCs w:val="0"/>
          <w:i w:val="0"/>
          <w:iCs w:val="0"/>
          <w:color w:val="000000"/>
          <w:kern w:val="2"/>
          <w:sz w:val="32"/>
          <w:szCs w:val="32"/>
          <w:lang w:val="en-US" w:eastAsia="zh-CN" w:bidi="ar-SA"/>
        </w:rPr>
        <w:t>等</w:t>
      </w:r>
      <w:r>
        <w:rPr>
          <w:rFonts w:hint="eastAsia" w:ascii="仿宋_GB2312" w:eastAsia="仿宋_GB2312" w:cs="Times New Roman" w:hAnsiTheme="minorHAnsi"/>
          <w:b w:val="0"/>
          <w:bCs w:val="0"/>
          <w:i w:val="0"/>
          <w:iCs w:val="0"/>
          <w:color w:val="000000"/>
          <w:kern w:val="2"/>
          <w:sz w:val="32"/>
          <w:szCs w:val="32"/>
          <w:lang w:val="en-US" w:eastAsia="zh-CN" w:bidi="ar-SA"/>
        </w:rPr>
        <w:t>政策，首笔“人才贷”业务在我市落地，贷款余额超亿元，有力的支持了高层次人才和其长期所在企业的科技创新创业活动。大力推动数字化普惠金融平台建设，成立聊城市智慧金融服务平台，</w:t>
      </w:r>
      <w:r>
        <w:rPr>
          <w:rFonts w:hint="eastAsia" w:ascii="仿宋_GB2312" w:hAnsi="仿宋_GB2312" w:eastAsia="仿宋_GB2312" w:cs="仿宋_GB2312"/>
          <w:color w:val="000000"/>
          <w:kern w:val="0"/>
          <w:sz w:val="32"/>
          <w:szCs w:val="32"/>
          <w:lang w:eastAsia="zh-CN" w:bidi="ar"/>
        </w:rPr>
        <w:t>实现企业需求与金融资源的无缝对接。</w:t>
      </w:r>
      <w:r>
        <w:rPr>
          <w:rFonts w:hint="eastAsia" w:ascii="仿宋_GB2312" w:eastAsia="仿宋_GB2312" w:cs="Times New Roman" w:hAnsiTheme="minorHAnsi"/>
          <w:b w:val="0"/>
          <w:bCs w:val="0"/>
          <w:i w:val="0"/>
          <w:iCs w:val="0"/>
          <w:color w:val="000000"/>
          <w:kern w:val="2"/>
          <w:sz w:val="32"/>
          <w:szCs w:val="32"/>
          <w:lang w:val="en-US" w:eastAsia="zh-CN" w:bidi="ar-SA"/>
        </w:rPr>
        <w:t>深入实施金融辅导员制度，组建金融辅导队，精准开展辅导对接活动，在全省金融辅导工作核查评比中获评“优秀”等次。</w:t>
      </w:r>
    </w:p>
    <w:p>
      <w:pPr>
        <w:pStyle w:val="4"/>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eastAsia="仿宋_GB2312" w:cs="Times New Roman" w:hAnsiTheme="minorHAnsi"/>
          <w:b w:val="0"/>
          <w:bCs w:val="0"/>
          <w:i w:val="0"/>
          <w:iCs w:val="0"/>
          <w:color w:val="000000"/>
          <w:kern w:val="2"/>
          <w:sz w:val="32"/>
          <w:szCs w:val="32"/>
          <w:lang w:val="en-US" w:eastAsia="zh-CN" w:bidi="ar-SA"/>
        </w:rPr>
      </w:pPr>
      <w:bookmarkStart w:id="43" w:name="_Toc85389533"/>
      <w:r>
        <w:rPr>
          <w:rFonts w:hint="eastAsia" w:ascii="楷体" w:hAnsi="楷体" w:eastAsia="楷体" w:cs="CESI楷体-GB2312"/>
          <w:b w:val="0"/>
          <w:sz w:val="32"/>
          <w:szCs w:val="32"/>
        </w:rPr>
        <w:t>（五）防范化解金融风险取得重要成果</w:t>
      </w:r>
      <w:bookmarkEnd w:id="43"/>
      <w:r>
        <w:rPr>
          <w:rFonts w:hint="eastAsia" w:ascii="楷体" w:hAnsi="楷体" w:eastAsia="楷体" w:cs="CESI楷体-GB2312"/>
          <w:b w:val="0"/>
          <w:sz w:val="32"/>
          <w:szCs w:val="32"/>
        </w:rPr>
        <w:t>。</w:t>
      </w:r>
      <w:r>
        <w:rPr>
          <w:rFonts w:hint="eastAsia" w:ascii="仿宋_GB2312" w:eastAsia="仿宋_GB2312" w:cs="Times New Roman" w:hAnsiTheme="minorHAnsi"/>
          <w:b w:val="0"/>
          <w:bCs w:val="0"/>
          <w:i w:val="0"/>
          <w:iCs w:val="0"/>
          <w:color w:val="000000"/>
          <w:kern w:val="2"/>
          <w:sz w:val="32"/>
          <w:szCs w:val="32"/>
          <w:lang w:val="en-US" w:eastAsia="zh-CN" w:bidi="ar-SA"/>
        </w:rPr>
        <w:t>坚持高位推动、多方协同。成立由市长任组长的聊城市金融稳定发展领导小组，统筹指导和推动全市重大金融风险防范化解工作。坚持完善机制、长效推进。出台了《聊城市金融突发事件应急预案》《聊城市企业担保圈风险防控处置工作方案》《聊城市非法集资案件举报奖励办法》等系列政策文件，构建金融风险防范化解长效机制。坚持突出重点、分类推进。不良贷款处置成效明显，2018年以来不良率大幅下降。扎实推进重点企业、地方法人银行风险化解，金融风险有效稳控。扎实开展</w:t>
      </w:r>
      <w:bookmarkStart w:id="77" w:name="_GoBack"/>
      <w:bookmarkEnd w:id="77"/>
      <w:r>
        <w:rPr>
          <w:rFonts w:hint="eastAsia" w:ascii="仿宋_GB2312" w:eastAsia="仿宋_GB2312" w:cs="Times New Roman" w:hAnsiTheme="minorHAnsi"/>
          <w:b w:val="0"/>
          <w:bCs w:val="0"/>
          <w:i w:val="0"/>
          <w:iCs w:val="0"/>
          <w:color w:val="000000"/>
          <w:kern w:val="2"/>
          <w:sz w:val="32"/>
          <w:szCs w:val="32"/>
          <w:lang w:val="en-US" w:eastAsia="zh-CN" w:bidi="ar-SA"/>
        </w:rPr>
        <w:t>扫黑除恶斗争金融放贷行业领域专项整治，坚持做好打击恶意逃废债和打击非法集资“两打”工作，地方金融生态环境持续改善。市县两级地方金融管理部门有序承接地方金融组织监管职责，聊城市地方金融监测服务中心挂牌成立，地方金融监管体系架构更加完善。</w:t>
      </w:r>
    </w:p>
    <w:p>
      <w:pPr>
        <w:rPr>
          <w:rFonts w:hint="eastAsia"/>
          <w:lang w:val="en-US" w:eastAsia="zh-CN"/>
        </w:rPr>
      </w:pPr>
    </w:p>
    <w:p/>
    <w:p>
      <w:pPr>
        <w:keepNext/>
        <w:keepLines/>
        <w:pageBreakBefore w:val="0"/>
        <w:widowControl w:val="0"/>
        <w:numPr>
          <w:ilvl w:val="0"/>
          <w:numId w:val="2"/>
        </w:numPr>
        <w:kinsoku/>
        <w:wordWrap/>
        <w:overflowPunct/>
        <w:topLinePunct w:val="0"/>
        <w:autoSpaceDE/>
        <w:autoSpaceDN/>
        <w:bidi w:val="0"/>
        <w:adjustRightInd/>
        <w:snapToGrid/>
        <w:spacing w:before="0" w:after="0" w:line="600" w:lineRule="exact"/>
        <w:ind w:left="0" w:leftChars="0" w:firstLine="640" w:firstLineChars="200"/>
        <w:jc w:val="center"/>
        <w:textAlignment w:val="auto"/>
        <w:outlineLvl w:val="0"/>
        <w:rPr>
          <w:rFonts w:hint="eastAsia" w:ascii="黑体" w:hAnsi="黑体" w:eastAsia="黑体" w:cs="黑体"/>
          <w:b w:val="0"/>
          <w:bCs w:val="0"/>
          <w:snapToGrid w:val="0"/>
          <w:kern w:val="0"/>
          <w:sz w:val="32"/>
          <w:szCs w:val="32"/>
          <w:lang w:val="en-US" w:eastAsia="zh-CN" w:bidi="ar-SA"/>
        </w:rPr>
      </w:pPr>
      <w:r>
        <w:rPr>
          <w:rFonts w:hint="eastAsia" w:ascii="黑体" w:hAnsi="黑体" w:eastAsia="黑体" w:cs="黑体"/>
          <w:b w:val="0"/>
          <w:bCs w:val="0"/>
          <w:snapToGrid w:val="0"/>
          <w:kern w:val="0"/>
          <w:sz w:val="32"/>
          <w:szCs w:val="32"/>
          <w:lang w:val="en-US" w:eastAsia="zh-CN" w:bidi="ar-SA"/>
        </w:rPr>
        <w:t xml:space="preserve"> </w:t>
      </w:r>
      <w:bookmarkStart w:id="44" w:name="_Toc1985298521_WPSOffice_Level2"/>
      <w:r>
        <w:rPr>
          <w:rFonts w:hint="eastAsia" w:ascii="黑体" w:hAnsi="黑体" w:eastAsia="黑体" w:cs="黑体"/>
          <w:b w:val="0"/>
          <w:bCs w:val="0"/>
          <w:snapToGrid w:val="0"/>
          <w:kern w:val="0"/>
          <w:sz w:val="32"/>
          <w:szCs w:val="32"/>
          <w:lang w:val="en-US" w:eastAsia="zh-CN" w:bidi="ar-SA"/>
        </w:rPr>
        <w:t>“十四五”时期面临的形势</w:t>
      </w:r>
      <w:bookmarkEnd w:id="44"/>
    </w:p>
    <w:p>
      <w:pPr>
        <w:pStyle w:val="5"/>
        <w:numPr>
          <w:ilvl w:val="0"/>
          <w:numId w:val="0"/>
        </w:numPr>
        <w:ind w:leftChars="200"/>
        <w:rPr>
          <w:lang w:val="en-US" w:eastAsia="zh-CN"/>
        </w:rPr>
      </w:pPr>
    </w:p>
    <w:bookmarkEnd w:id="35"/>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val="0"/>
          <w:bCs w:val="0"/>
          <w:i w:val="0"/>
          <w:iCs w:val="0"/>
          <w:color w:val="000000"/>
          <w:sz w:val="32"/>
          <w:szCs w:val="32"/>
          <w:lang w:val="en-US" w:eastAsia="zh-CN"/>
        </w:rPr>
        <w:t>从宏观经济环境来看，“十四五”时期处于两个百年历史交汇期，既是全面建成小康社会的收官时期，也是全面建设社会主义现代化国家新征程的开局时期，充分认识国际、国内经济新形势，深刻洞察机遇与挑战，持续推进高质量发展，是做好我市金融业“十四五”规划的基础所在。</w:t>
      </w:r>
    </w:p>
    <w:p>
      <w:pPr>
        <w:pStyle w:val="4"/>
        <w:pageBreakBefore w:val="0"/>
        <w:widowControl w:val="0"/>
        <w:kinsoku/>
        <w:wordWrap/>
        <w:overflowPunct/>
        <w:topLinePunct w:val="0"/>
        <w:autoSpaceDE/>
        <w:autoSpaceDN/>
        <w:bidi w:val="0"/>
        <w:adjustRightInd/>
        <w:snapToGrid/>
        <w:spacing w:line="600" w:lineRule="exact"/>
        <w:ind w:firstLine="560"/>
        <w:textAlignment w:val="auto"/>
        <w:rPr>
          <w:rFonts w:ascii="楷体" w:hAnsi="楷体" w:eastAsia="楷体" w:cs="CESI楷体-GB2312"/>
          <w:b w:val="0"/>
          <w:bCs w:val="0"/>
          <w:sz w:val="32"/>
          <w:szCs w:val="32"/>
        </w:rPr>
      </w:pPr>
      <w:r>
        <w:rPr>
          <w:rFonts w:ascii="仿宋" w:hAnsi="仿宋" w:eastAsia="仿宋"/>
          <w:b w:val="0"/>
          <w:bCs w:val="0"/>
          <w:sz w:val="28"/>
          <w:szCs w:val="28"/>
        </w:rPr>
        <w:t xml:space="preserve"> </w:t>
      </w:r>
      <w:bookmarkStart w:id="45" w:name="_Toc85389535"/>
      <w:r>
        <w:rPr>
          <w:rFonts w:hint="eastAsia" w:ascii="楷体" w:hAnsi="楷体" w:eastAsia="楷体" w:cs="CESI楷体-GB2312"/>
          <w:b w:val="0"/>
          <w:bCs w:val="0"/>
          <w:sz w:val="32"/>
          <w:szCs w:val="32"/>
        </w:rPr>
        <w:t>（一）面临的机遇</w:t>
      </w:r>
      <w:bookmarkEnd w:id="45"/>
      <w:r>
        <w:rPr>
          <w:rFonts w:hint="eastAsia" w:ascii="楷体" w:hAnsi="楷体" w:eastAsia="楷体" w:cs="CESI楷体-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1.国际经济贸易格局变化，新兴经济体崛起带来新机遇</w:t>
      </w:r>
      <w:r>
        <w:rPr>
          <w:rFonts w:hint="eastAsia" w:ascii="仿宋_GB2312" w:eastAsia="仿宋_GB2312" w:cs="Times New Roman"/>
          <w:b w:val="0"/>
          <w:bCs w:val="0"/>
          <w:i w:val="0"/>
          <w:iCs w:val="0"/>
          <w:color w:val="000000"/>
          <w:sz w:val="32"/>
          <w:szCs w:val="32"/>
          <w:lang w:val="en-US" w:eastAsia="zh-CN"/>
        </w:rPr>
        <w:t>。随着近年来世界范围内新兴经济体不断崛起，国际贸易格局将持续改变。“十四五”期间，数字经济作为全新的生产工具、基础设施、交易标的和游戏规则，将驱动新的生产生活方式、交易方式和治理方式，成为支撑经济、社会发展以及产业转型、城市治理的新动能。我国积极参与RCEP等多边区域投资贸易合作机制，在共商共建共享原则下，加强国际宏观经济政策协调，维护多边贸易体制，推进基础设施互联互通，推动建设开放型世界经济，为后疫情时代经济复苏提供强大动力。</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2.我国经济长期向好，双循环新发展格局重塑竞争新优势。</w:t>
      </w:r>
      <w:r>
        <w:rPr>
          <w:rFonts w:hint="eastAsia" w:ascii="仿宋_GB2312" w:eastAsia="仿宋_GB2312" w:cs="Times New Roman"/>
          <w:b w:val="0"/>
          <w:bCs w:val="0"/>
          <w:i w:val="0"/>
          <w:iCs w:val="0"/>
          <w:color w:val="000000"/>
          <w:sz w:val="32"/>
          <w:szCs w:val="32"/>
          <w:lang w:val="en-US" w:eastAsia="zh-CN"/>
        </w:rPr>
        <w:t>中国经济由高速增长阶段转向高质量发展阶段，经济增长动力由要素驱动、投资驱动转向创新驱动，经济结构不断优化升级，中国正构建以国内大循环为主体、国内国际双循环相互促进的新发展格局，为应对国内外经济形势变化，促进经济更高质量发展明确了方向。供给侧结构性改革、需求侧改革稳步推进，以需求牵引供给，以供给创造需求，为高质量发展赋予全新优势、创造有利条件。数字经济将成为引领经济高质量发展的重要力量，技术的发展也推动金融机构向数字化、科技化、智能化转型，有效提高了金融业的数据治理、成本管理、风险控制水平，助力实体经济质效提升。金融业高质量发展将促进国内国外两大市场的有效链接，为我国强化硬核实力发挥重要作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3.山东省开启新时代现代化强省建设新阶段，金融的重要性更加突出。</w:t>
      </w:r>
      <w:r>
        <w:rPr>
          <w:rFonts w:hint="eastAsia" w:ascii="仿宋_GB2312" w:eastAsia="仿宋_GB2312" w:cs="Times New Roman"/>
          <w:b w:val="0"/>
          <w:bCs w:val="0"/>
          <w:i w:val="0"/>
          <w:iCs w:val="0"/>
          <w:color w:val="000000"/>
          <w:sz w:val="32"/>
          <w:szCs w:val="32"/>
          <w:lang w:val="en-US" w:eastAsia="zh-CN"/>
        </w:rPr>
        <w:t>习近平总书记亲临山东视察、做出“三个走在前”重要指示，为做好山东工作提供了总遵循、总定位、总航标。新旧动能转换、军民融合、区域协调发展等“八大战略”加快实施；省会经济圈一体化、黄河科创大走廊、黄河现代产业合作示范带建设加快推进，山东锚定“七个走在前列”“九个强省突破”目标，奋力推进新时代现代化强省建设。省委、省政府将现代金融产业列入新旧动能转换“十强”产业，出台多项政策予以重点扶持培育。中国（山东）自贸试验区获批建设，合格境内有限合伙人（QDLP）、合格境外有限合伙人（QFLP）等金融对外开放措施加速落地，我省金融开放合作不断深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4.立足区域战略，释放高质量发展潜能。</w:t>
      </w:r>
      <w:r>
        <w:rPr>
          <w:rFonts w:hint="eastAsia" w:ascii="仿宋_GB2312" w:eastAsia="仿宋_GB2312" w:cs="Times New Roman"/>
          <w:b w:val="0"/>
          <w:bCs w:val="0"/>
          <w:i w:val="0"/>
          <w:iCs w:val="0"/>
          <w:color w:val="000000"/>
          <w:sz w:val="32"/>
          <w:szCs w:val="32"/>
          <w:lang w:val="en-US" w:eastAsia="zh-CN"/>
        </w:rPr>
        <w:t>聊城地处京津冀城市群、山东半岛城市群、中原城市群中间地带，300公里经济圈内人口超过2亿。聊城是国家历史文化名城，文化旅游产业资源厚重，在消费金融等方面存在潜在的深入拓展机遇。郑济高铁、雄商高铁在我市交汇，高铁站和机场在筹备建设中，区位交通优势进一步凸显，基础设施的完善将给地方金融和就业带来强大的基础和动力。产业基础扎实，高质量发展氛围浓厚，新旧动能转换、黄河流域生态保护和高质量发展、制造业强市建设、数字经济发展、智能化技改、高新技术企业培育、高铁新区建设等重大战略、规划持续赋能。营商环境优良，改革红利加速释放，使我市战略空间拓展、战略潜能释放，有利于聊城在更高层面聚集和配置金融资源。</w:t>
      </w:r>
    </w:p>
    <w:p>
      <w:pPr>
        <w:pStyle w:val="4"/>
        <w:pageBreakBefore w:val="0"/>
        <w:widowControl w:val="0"/>
        <w:kinsoku/>
        <w:wordWrap/>
        <w:overflowPunct/>
        <w:topLinePunct w:val="0"/>
        <w:autoSpaceDE/>
        <w:autoSpaceDN/>
        <w:bidi w:val="0"/>
        <w:adjustRightInd/>
        <w:snapToGrid/>
        <w:spacing w:line="600" w:lineRule="exact"/>
        <w:ind w:firstLine="640"/>
        <w:textAlignment w:val="auto"/>
        <w:rPr>
          <w:rFonts w:ascii="楷体" w:hAnsi="楷体" w:eastAsia="楷体" w:cs="CESI楷体-GB2312"/>
          <w:b w:val="0"/>
          <w:sz w:val="32"/>
          <w:szCs w:val="32"/>
        </w:rPr>
      </w:pPr>
      <w:bookmarkStart w:id="46" w:name="_Toc85389536"/>
      <w:r>
        <w:rPr>
          <w:rFonts w:hint="eastAsia" w:ascii="楷体" w:hAnsi="楷体" w:eastAsia="楷体" w:cs="CESI楷体-GB2312"/>
          <w:b w:val="0"/>
          <w:sz w:val="32"/>
          <w:szCs w:val="32"/>
        </w:rPr>
        <w:t>（二）面临的挑战</w:t>
      </w:r>
      <w:bookmarkEnd w:id="46"/>
      <w:r>
        <w:rPr>
          <w:rFonts w:hint="eastAsia" w:ascii="楷体" w:hAnsi="楷体" w:eastAsia="楷体" w:cs="CESI楷体-GB2312"/>
          <w:b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1.国际形势严峻复杂，金融业发展面临转型。</w:t>
      </w:r>
      <w:r>
        <w:rPr>
          <w:rFonts w:hint="eastAsia" w:ascii="仿宋_GB2312" w:eastAsia="仿宋_GB2312" w:cs="Times New Roman"/>
          <w:b w:val="0"/>
          <w:bCs w:val="0"/>
          <w:i w:val="0"/>
          <w:iCs w:val="0"/>
          <w:color w:val="000000"/>
          <w:sz w:val="32"/>
          <w:szCs w:val="32"/>
          <w:lang w:val="en-US" w:eastAsia="zh-CN"/>
        </w:rPr>
        <w:t>当今世界正经历百年未有之大变局，国际政治、经济格局发生深刻调整，国际经济增速放缓，贸易冲突此起彼伏，国内金融领域受到国际金融势力的冲击，经济金融发展的不确定因素增加。新冠疫情影响持续，实体经济下行压力增大，对银行预防和化解问题资产的能力提出更高要求。多重挑战下，粗放式、重资本增长不再适应时代发展变化，中国金融业面临转型发展的迫切压力。</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2.国内发展不均衡仍然突出，客户差异化金融需求亟待满足。</w:t>
      </w:r>
      <w:r>
        <w:rPr>
          <w:rFonts w:hint="eastAsia" w:ascii="仿宋_GB2312" w:eastAsia="仿宋_GB2312" w:cs="Times New Roman"/>
          <w:b w:val="0"/>
          <w:bCs w:val="0"/>
          <w:i w:val="0"/>
          <w:iCs w:val="0"/>
          <w:color w:val="000000"/>
          <w:sz w:val="32"/>
          <w:szCs w:val="32"/>
          <w:lang w:val="en-US" w:eastAsia="zh-CN"/>
        </w:rPr>
        <w:t>当前我国正处在转变发展方式、优化经济结构、转换增长动力的重要时期，结构性、体制性、周期性问题相互交织，“三期叠加”影响持续深化，经济下行压力加大。同时，城乡发展不平衡、贫富分化加剧、人口老龄化等问题不断凸显。城乡、收入、年龄等客户差别导致的金融需求差异化程度不断提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3.我市金融供给质效有待优化，金融业发展仍存在不平衡不充分的问题。</w:t>
      </w:r>
      <w:r>
        <w:rPr>
          <w:rFonts w:hint="eastAsia" w:ascii="仿宋_GB2312" w:eastAsia="仿宋_GB2312" w:cs="Times New Roman"/>
          <w:b w:val="0"/>
          <w:bCs w:val="0"/>
          <w:i w:val="0"/>
          <w:iCs w:val="0"/>
          <w:color w:val="000000"/>
          <w:sz w:val="32"/>
          <w:szCs w:val="32"/>
          <w:lang w:val="en-US" w:eastAsia="zh-CN"/>
        </w:rPr>
        <w:t>“十四五”时期，我市金融业发展面临的困难和挑战依然较多。具体表现在：金融体系有待完善，股权投资基金、信托、金融租赁、汽车金融公司、消费金融公司等新型金融机构发展相对滞后；地方法人金融机构竞争力偏弱，规模实力和品牌影响力仍需提升；金融创新有待加强，对制造业等重点领域和薄弱环节的金融支持需进一步加大，针对高精尖产业的支持手段和审批标准亟待破局；融资结构有待改善，直接融资占比较低；金融风险防控压力较大，地方金融治理体系和治理能力现代化程度不足等。</w:t>
      </w:r>
    </w:p>
    <w:p>
      <w:pPr>
        <w:pageBreakBefore w:val="0"/>
        <w:widowControl/>
        <w:kinsoku/>
        <w:wordWrap/>
        <w:overflowPunct/>
        <w:topLinePunct w:val="0"/>
        <w:autoSpaceDE/>
        <w:autoSpaceDN/>
        <w:bidi w:val="0"/>
        <w:spacing w:line="560" w:lineRule="exact"/>
        <w:jc w:val="left"/>
        <w:textAlignment w:val="auto"/>
        <w:rPr>
          <w:rFonts w:ascii="仿宋" w:hAnsi="仿宋" w:eastAsia="仿宋" w:cs="CESI仿宋-GB2312"/>
          <w:sz w:val="28"/>
          <w:szCs w:val="28"/>
          <w:highlight w:val="none"/>
        </w:rPr>
      </w:pPr>
      <w:r>
        <w:rPr>
          <w:rFonts w:ascii="仿宋" w:hAnsi="仿宋" w:eastAsia="仿宋" w:cs="CESI仿宋-GB2312"/>
          <w:sz w:val="28"/>
          <w:szCs w:val="28"/>
          <w:highlight w:val="none"/>
        </w:rPr>
        <w:br w:type="page"/>
      </w:r>
    </w:p>
    <w:p>
      <w:pPr>
        <w:pStyle w:val="3"/>
        <w:pageBreakBefore w:val="0"/>
        <w:kinsoku/>
        <w:wordWrap/>
        <w:overflowPunct/>
        <w:topLinePunct w:val="0"/>
        <w:autoSpaceDE/>
        <w:autoSpaceDN/>
        <w:bidi w:val="0"/>
        <w:spacing w:line="560" w:lineRule="exact"/>
        <w:ind w:firstLine="540" w:firstLineChars="150"/>
        <w:textAlignment w:val="auto"/>
        <w:rPr>
          <w:rFonts w:hint="eastAsia" w:ascii="黑体" w:hAnsi="黑体" w:eastAsia="黑体" w:cs="CESI黑体-GB2312"/>
          <w:b w:val="0"/>
          <w:sz w:val="36"/>
          <w:szCs w:val="36"/>
        </w:rPr>
      </w:pPr>
      <w:bookmarkStart w:id="47" w:name="_Toc85389537"/>
      <w:bookmarkStart w:id="48" w:name="_Toc349845763_WPSOffice_Level1"/>
      <w:r>
        <w:rPr>
          <w:rFonts w:hint="eastAsia" w:ascii="黑体" w:hAnsi="黑体" w:eastAsia="黑体" w:cs="CESI黑体-GB2312"/>
          <w:b w:val="0"/>
          <w:sz w:val="36"/>
          <w:szCs w:val="36"/>
        </w:rPr>
        <w:t>第</w:t>
      </w:r>
      <w:r>
        <w:rPr>
          <w:rFonts w:hint="eastAsia" w:ascii="黑体" w:hAnsi="黑体" w:eastAsia="黑体" w:cs="CESI黑体-GB2312"/>
          <w:b w:val="0"/>
          <w:sz w:val="36"/>
          <w:szCs w:val="36"/>
          <w:lang w:eastAsia="zh-CN"/>
        </w:rPr>
        <w:t>二部分</w:t>
      </w:r>
      <w:r>
        <w:rPr>
          <w:rFonts w:hint="eastAsia" w:ascii="黑体" w:hAnsi="黑体" w:eastAsia="黑体" w:cs="CESI黑体-GB2312"/>
          <w:b w:val="0"/>
          <w:sz w:val="36"/>
          <w:szCs w:val="36"/>
          <w:lang w:val="en-US" w:eastAsia="zh-CN"/>
        </w:rPr>
        <w:t xml:space="preserve">  </w:t>
      </w:r>
      <w:r>
        <w:rPr>
          <w:rFonts w:hint="eastAsia" w:ascii="黑体" w:hAnsi="黑体" w:eastAsia="黑体" w:cs="CESI黑体-GB2312"/>
          <w:b w:val="0"/>
          <w:sz w:val="36"/>
          <w:szCs w:val="36"/>
        </w:rPr>
        <w:t>“十四五”时期金融业发展指导思想、工作原则和</w:t>
      </w:r>
      <w:r>
        <w:rPr>
          <w:rFonts w:hint="eastAsia" w:ascii="黑体" w:hAnsi="黑体" w:eastAsia="黑体" w:cs="CESI黑体-GB2312"/>
          <w:b w:val="0"/>
          <w:sz w:val="36"/>
          <w:szCs w:val="36"/>
          <w:lang w:eastAsia="zh-CN"/>
        </w:rPr>
        <w:t>总体</w:t>
      </w:r>
      <w:r>
        <w:rPr>
          <w:rFonts w:hint="eastAsia" w:ascii="黑体" w:hAnsi="黑体" w:eastAsia="黑体" w:cs="CESI黑体-GB2312"/>
          <w:b w:val="0"/>
          <w:sz w:val="36"/>
          <w:szCs w:val="36"/>
        </w:rPr>
        <w:t>目标</w:t>
      </w:r>
      <w:bookmarkEnd w:id="47"/>
      <w:bookmarkEnd w:id="48"/>
    </w:p>
    <w:p>
      <w:pPr>
        <w:rPr>
          <w:rFonts w:hint="eastAsia" w:eastAsia="宋体"/>
          <w:lang w:val="en-US" w:eastAsia="zh-CN"/>
        </w:rPr>
      </w:pPr>
      <w:r>
        <w:rPr>
          <w:rFonts w:hint="eastAsia" w:eastAsia="宋体"/>
          <w:lang w:val="en-US" w:eastAsia="zh-CN"/>
        </w:rPr>
        <w:t xml:space="preserve">    </w:t>
      </w:r>
    </w:p>
    <w:p>
      <w:pPr>
        <w:keepNext/>
        <w:keepLines/>
        <w:pageBreakBefore w:val="0"/>
        <w:widowControl w:val="0"/>
        <w:numPr>
          <w:ilvl w:val="0"/>
          <w:numId w:val="3"/>
        </w:numPr>
        <w:kinsoku/>
        <w:wordWrap/>
        <w:overflowPunct/>
        <w:topLinePunct w:val="0"/>
        <w:autoSpaceDE/>
        <w:autoSpaceDN/>
        <w:bidi w:val="0"/>
        <w:adjustRightInd/>
        <w:snapToGrid/>
        <w:spacing w:before="0" w:after="0" w:line="600" w:lineRule="exact"/>
        <w:jc w:val="center"/>
        <w:textAlignment w:val="auto"/>
        <w:outlineLvl w:val="0"/>
        <w:rPr>
          <w:rFonts w:hint="eastAsia" w:ascii="黑体" w:hAnsi="黑体" w:eastAsia="黑体" w:cs="黑体"/>
          <w:b w:val="0"/>
          <w:bCs w:val="0"/>
          <w:snapToGrid w:val="0"/>
          <w:kern w:val="0"/>
          <w:sz w:val="32"/>
          <w:szCs w:val="32"/>
          <w:lang w:val="en-US" w:eastAsia="zh-CN" w:bidi="ar-SA"/>
        </w:rPr>
      </w:pPr>
      <w:r>
        <w:rPr>
          <w:rFonts w:hint="eastAsia" w:ascii="黑体" w:hAnsi="黑体" w:eastAsia="黑体" w:cs="黑体"/>
          <w:b w:val="0"/>
          <w:bCs w:val="0"/>
          <w:snapToGrid w:val="0"/>
          <w:kern w:val="0"/>
          <w:sz w:val="32"/>
          <w:szCs w:val="32"/>
          <w:lang w:val="en-US" w:eastAsia="zh-CN" w:bidi="ar-SA"/>
        </w:rPr>
        <w:t xml:space="preserve"> </w:t>
      </w:r>
      <w:bookmarkStart w:id="49" w:name="_Toc885333632_WPSOffice_Level2"/>
      <w:r>
        <w:rPr>
          <w:rFonts w:hint="eastAsia" w:ascii="黑体" w:hAnsi="黑体" w:eastAsia="黑体" w:cs="黑体"/>
          <w:b w:val="0"/>
          <w:bCs w:val="0"/>
          <w:snapToGrid w:val="0"/>
          <w:kern w:val="0"/>
          <w:sz w:val="32"/>
          <w:szCs w:val="32"/>
          <w:lang w:val="en-US" w:eastAsia="zh-CN" w:bidi="ar-SA"/>
        </w:rPr>
        <w:t>指导思想</w:t>
      </w:r>
      <w:bookmarkEnd w:id="49"/>
    </w:p>
    <w:p>
      <w:pPr>
        <w:pStyle w:val="5"/>
        <w:numPr>
          <w:ilvl w:val="0"/>
          <w:numId w:val="0"/>
        </w:numPr>
        <w:rPr>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val="0"/>
          <w:bCs w:val="0"/>
          <w:i w:val="0"/>
          <w:iCs w:val="0"/>
          <w:color w:val="000000"/>
          <w:sz w:val="32"/>
          <w:szCs w:val="32"/>
          <w:lang w:val="en-US" w:eastAsia="zh-CN"/>
        </w:rPr>
        <w:t>以习近平新时代中国特色社会主义思想为指导，深入贯彻党的十九大和十九届历次全会精神，认真落实习近平总书记对金融工作和山东工作的重要指示批示要求，科学把握新发展阶段，全面贯彻新发展理念，服务和融入新发展格局，紧紧围绕服务实体经济、防控金融风险、深化金融改革三大任务，以满足人民日益增长的美好生活需要为目标，以构建与聊城高质量发展相适应的金融服务体系为主线，以金融供给侧结构性改革为抓手，以改革创新为根本动力，以维护金融稳定、优化金融生态环境为保障，打造整体实力雄厚、区域布局合理、组织体系健全、产融结合紧密、运行秩序优良的区域金融高质量发展聊城样板，为我市成为冀鲁豫三省交接区域性中心城市提供坚强金融支撑和保障。</w:t>
      </w:r>
    </w:p>
    <w:p>
      <w:pPr>
        <w:pStyle w:val="5"/>
        <w:rPr>
          <w:rFonts w:hint="eastAsia"/>
          <w:lang w:val="en-US" w:eastAsia="zh-CN"/>
        </w:rPr>
      </w:pPr>
    </w:p>
    <w:p>
      <w:pPr>
        <w:keepNext/>
        <w:keepLines/>
        <w:pageBreakBefore w:val="0"/>
        <w:widowControl w:val="0"/>
        <w:numPr>
          <w:ilvl w:val="0"/>
          <w:numId w:val="3"/>
        </w:numPr>
        <w:kinsoku/>
        <w:wordWrap/>
        <w:overflowPunct/>
        <w:topLinePunct w:val="0"/>
        <w:autoSpaceDE/>
        <w:autoSpaceDN/>
        <w:bidi w:val="0"/>
        <w:adjustRightInd/>
        <w:snapToGrid/>
        <w:spacing w:before="0" w:after="0" w:line="600" w:lineRule="exact"/>
        <w:ind w:left="0" w:leftChars="0" w:firstLine="0" w:firstLineChars="0"/>
        <w:jc w:val="center"/>
        <w:textAlignment w:val="auto"/>
        <w:outlineLvl w:val="0"/>
        <w:rPr>
          <w:rFonts w:hint="eastAsia" w:ascii="黑体" w:hAnsi="黑体" w:eastAsia="黑体" w:cs="黑体"/>
          <w:b w:val="0"/>
          <w:bCs w:val="0"/>
          <w:snapToGrid w:val="0"/>
          <w:kern w:val="0"/>
          <w:sz w:val="32"/>
          <w:szCs w:val="32"/>
          <w:lang w:val="en-US" w:eastAsia="zh-CN" w:bidi="ar-SA"/>
        </w:rPr>
      </w:pPr>
      <w:r>
        <w:rPr>
          <w:rFonts w:hint="eastAsia" w:ascii="黑体" w:hAnsi="黑体" w:eastAsia="黑体" w:cs="黑体"/>
          <w:b w:val="0"/>
          <w:bCs w:val="0"/>
          <w:snapToGrid w:val="0"/>
          <w:kern w:val="0"/>
          <w:sz w:val="32"/>
          <w:szCs w:val="32"/>
          <w:lang w:val="en-US" w:eastAsia="zh-CN" w:bidi="ar-SA"/>
        </w:rPr>
        <w:t xml:space="preserve"> </w:t>
      </w:r>
      <w:bookmarkStart w:id="50" w:name="_Toc2017530698_WPSOffice_Level2"/>
      <w:r>
        <w:rPr>
          <w:rFonts w:hint="eastAsia" w:ascii="黑体" w:hAnsi="黑体" w:eastAsia="黑体" w:cs="黑体"/>
          <w:b w:val="0"/>
          <w:bCs w:val="0"/>
          <w:snapToGrid w:val="0"/>
          <w:kern w:val="0"/>
          <w:sz w:val="32"/>
          <w:szCs w:val="32"/>
          <w:lang w:val="en-US" w:eastAsia="zh-CN" w:bidi="ar-SA"/>
        </w:rPr>
        <w:t>工作原则</w:t>
      </w:r>
      <w:bookmarkEnd w:id="50"/>
    </w:p>
    <w:p>
      <w:pPr>
        <w:pStyle w:val="5"/>
        <w:numPr>
          <w:ilvl w:val="0"/>
          <w:numId w:val="0"/>
        </w:numPr>
        <w:ind w:left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——坚持党管金融。</w:t>
      </w:r>
      <w:r>
        <w:rPr>
          <w:rFonts w:hint="eastAsia" w:ascii="仿宋_GB2312" w:eastAsia="仿宋_GB2312" w:cs="Times New Roman"/>
          <w:b w:val="0"/>
          <w:bCs w:val="0"/>
          <w:i w:val="0"/>
          <w:iCs w:val="0"/>
          <w:color w:val="000000"/>
          <w:sz w:val="32"/>
          <w:szCs w:val="32"/>
          <w:lang w:val="en-US" w:eastAsia="zh-CN"/>
        </w:rPr>
        <w:t>坚持和完善党领导金融发展的体制机制，不断提高党领导金融工作的能力和水平，把党的全面领导落实到金融工作的各领域各方面各环节。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——坚持服务实体经济。</w:t>
      </w:r>
      <w:r>
        <w:rPr>
          <w:rFonts w:hint="eastAsia" w:ascii="仿宋_GB2312" w:eastAsia="仿宋_GB2312" w:cs="Times New Roman"/>
          <w:b w:val="0"/>
          <w:bCs w:val="0"/>
          <w:i w:val="0"/>
          <w:iCs w:val="0"/>
          <w:color w:val="000000"/>
          <w:sz w:val="32"/>
          <w:szCs w:val="32"/>
          <w:lang w:val="en-US" w:eastAsia="zh-CN"/>
        </w:rPr>
        <w:t>牢记金融服务实体经济宗旨，加快构建金融有效服务实体经济体制机制，畅通金融资本流向实体经济渠道，有效缓解实体经济融资难、融资贵等问题。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——坚持服务重大战略。</w:t>
      </w:r>
      <w:r>
        <w:rPr>
          <w:rFonts w:hint="eastAsia" w:ascii="仿宋_GB2312" w:eastAsia="仿宋_GB2312" w:cs="Times New Roman"/>
          <w:b w:val="0"/>
          <w:bCs w:val="0"/>
          <w:i w:val="0"/>
          <w:iCs w:val="0"/>
          <w:color w:val="000000"/>
          <w:sz w:val="32"/>
          <w:szCs w:val="32"/>
          <w:lang w:val="en-US" w:eastAsia="zh-CN"/>
        </w:rPr>
        <w:t>深入落实黄河流域生态保护和高质量发展战略，深度融入京津冀协同发展区、中原经济区和省会经济圈，建立健全金融开放合作机制，在优化金融资源配置、金融市场一体化、多层次资本市场利用、科创金融、信息共享、人才交流等方面加强合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——坚持改革开放创新。</w:t>
      </w:r>
      <w:r>
        <w:rPr>
          <w:rFonts w:hint="eastAsia" w:ascii="仿宋_GB2312" w:eastAsia="仿宋_GB2312" w:cs="Times New Roman"/>
          <w:b w:val="0"/>
          <w:bCs w:val="0"/>
          <w:i w:val="0"/>
          <w:iCs w:val="0"/>
          <w:color w:val="000000"/>
          <w:sz w:val="32"/>
          <w:szCs w:val="32"/>
          <w:lang w:val="en-US" w:eastAsia="zh-CN"/>
        </w:rPr>
        <w:t>强力吸进域外大型、优质金融机构来聊落户发展，加快地方法人机构改革步伐，完善现代化金融体系。构建成熟定型的上市培育体系，大力发展直接融资。创新数字科技金融手段，提升金融服务数字化智能化驱动能力。</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——坚持有效防范化解风险。</w:t>
      </w:r>
      <w:r>
        <w:rPr>
          <w:rFonts w:hint="eastAsia" w:ascii="仿宋_GB2312" w:eastAsia="仿宋_GB2312" w:cs="Times New Roman"/>
          <w:b w:val="0"/>
          <w:bCs w:val="0"/>
          <w:i w:val="0"/>
          <w:iCs w:val="0"/>
          <w:color w:val="000000"/>
          <w:sz w:val="32"/>
          <w:szCs w:val="32"/>
          <w:lang w:val="en-US" w:eastAsia="zh-CN"/>
        </w:rPr>
        <w:t>牢牢把握“金融安全是国家安全的重要组成部分”实质要义，健全金融风险预防、预警、处置责任体系，落实金融机构主体责任、地方政府属地责任和监管部门监管责任，提高提法监管、科学监管水平，守住金融安全底线。</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eastAsia="仿宋_GB2312" w:cs="Times New Roman"/>
          <w:b w:val="0"/>
          <w:bCs w:val="0"/>
          <w:i w:val="0"/>
          <w:iCs w:val="0"/>
          <w:color w:val="000000"/>
          <w:sz w:val="32"/>
          <w:szCs w:val="32"/>
          <w:lang w:val="en" w:eastAsia="zh-CN"/>
        </w:rPr>
      </w:pPr>
      <w:r>
        <w:rPr>
          <w:rFonts w:hint="eastAsia" w:ascii="仿宋_GB2312" w:eastAsia="仿宋_GB2312" w:cs="Times New Roman"/>
          <w:b/>
          <w:bCs/>
          <w:i w:val="0"/>
          <w:iCs w:val="0"/>
          <w:color w:val="000000"/>
          <w:sz w:val="32"/>
          <w:szCs w:val="32"/>
          <w:lang w:val="en-US" w:eastAsia="zh-CN"/>
        </w:rPr>
        <w:t>——坚持系统推进观念。</w:t>
      </w:r>
      <w:r>
        <w:rPr>
          <w:rFonts w:hint="eastAsia" w:ascii="仿宋_GB2312" w:eastAsia="仿宋_GB2312" w:cs="Times New Roman"/>
          <w:b w:val="0"/>
          <w:bCs w:val="0"/>
          <w:i w:val="0"/>
          <w:iCs w:val="0"/>
          <w:color w:val="000000"/>
          <w:sz w:val="32"/>
          <w:szCs w:val="32"/>
          <w:lang w:val="en-US" w:eastAsia="zh-CN"/>
        </w:rPr>
        <w:t>加强央地金融监管协作，加强区域、行业间协调配合，切实提升地方金融全局性谋划、战略性布局、整体性推进的系统工作能力，有效解决金融发展碎片化、工作碎片化、政策碎片化问题。</w:t>
      </w:r>
    </w:p>
    <w:p>
      <w:pPr>
        <w:keepNext/>
        <w:keepLines/>
        <w:pageBreakBefore w:val="0"/>
        <w:widowControl w:val="0"/>
        <w:numPr>
          <w:ilvl w:val="0"/>
          <w:numId w:val="3"/>
        </w:numPr>
        <w:kinsoku/>
        <w:wordWrap/>
        <w:overflowPunct/>
        <w:topLinePunct w:val="0"/>
        <w:autoSpaceDE/>
        <w:autoSpaceDN/>
        <w:bidi w:val="0"/>
        <w:adjustRightInd/>
        <w:snapToGrid/>
        <w:spacing w:before="0" w:after="0" w:line="600" w:lineRule="exact"/>
        <w:ind w:left="0" w:leftChars="0" w:firstLine="0" w:firstLineChars="0"/>
        <w:jc w:val="center"/>
        <w:textAlignment w:val="auto"/>
        <w:outlineLvl w:val="0"/>
        <w:rPr>
          <w:rFonts w:hint="eastAsia" w:ascii="黑体" w:hAnsi="黑体" w:eastAsia="黑体" w:cs="黑体"/>
          <w:b w:val="0"/>
          <w:bCs w:val="0"/>
          <w:snapToGrid w:val="0"/>
          <w:kern w:val="0"/>
          <w:sz w:val="32"/>
          <w:szCs w:val="32"/>
          <w:lang w:val="en-US" w:eastAsia="zh-CN" w:bidi="ar-SA"/>
        </w:rPr>
      </w:pPr>
      <w:bookmarkStart w:id="51" w:name="_Toc85389540"/>
      <w:r>
        <w:rPr>
          <w:rFonts w:hint="eastAsia" w:ascii="黑体" w:hAnsi="黑体" w:eastAsia="黑体" w:cs="黑体"/>
          <w:b w:val="0"/>
          <w:bCs w:val="0"/>
          <w:snapToGrid w:val="0"/>
          <w:kern w:val="0"/>
          <w:sz w:val="32"/>
          <w:szCs w:val="32"/>
          <w:lang w:val="en-US" w:eastAsia="zh-CN" w:bidi="ar-SA"/>
        </w:rPr>
        <w:t xml:space="preserve"> </w:t>
      </w:r>
      <w:bookmarkStart w:id="52" w:name="_Toc1719679573_WPSOffice_Level2"/>
      <w:r>
        <w:rPr>
          <w:rFonts w:hint="eastAsia" w:ascii="黑体" w:hAnsi="黑体" w:eastAsia="黑体" w:cs="黑体"/>
          <w:b w:val="0"/>
          <w:bCs w:val="0"/>
          <w:snapToGrid w:val="0"/>
          <w:kern w:val="0"/>
          <w:sz w:val="32"/>
          <w:szCs w:val="32"/>
          <w:lang w:val="en-US" w:eastAsia="zh-CN" w:bidi="ar-SA"/>
        </w:rPr>
        <w:t>总体目标</w:t>
      </w:r>
      <w:bookmarkEnd w:id="52"/>
    </w:p>
    <w:p>
      <w:pPr>
        <w:pStyle w:val="5"/>
        <w:numPr>
          <w:ilvl w:val="0"/>
          <w:numId w:val="0"/>
        </w:numPr>
        <w:ind w:leftChars="0"/>
        <w:rPr>
          <w:rFonts w:hint="eastAsia"/>
          <w:lang w:val="en-US" w:eastAsia="zh-CN"/>
        </w:rPr>
      </w:pPr>
    </w:p>
    <w:bookmarkEnd w:id="51"/>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s="Times New Roman"/>
          <w:b/>
          <w:bCs/>
          <w:i w:val="0"/>
          <w:iCs w:val="0"/>
          <w:color w:val="000000"/>
          <w:sz w:val="24"/>
          <w:szCs w:val="24"/>
          <w:lang w:val="en-US" w:eastAsia="zh-CN"/>
        </w:rPr>
      </w:pPr>
      <w:r>
        <w:rPr>
          <w:rFonts w:hint="eastAsia" w:ascii="仿宋_GB2312" w:eastAsia="仿宋_GB2312" w:cs="Times New Roman"/>
          <w:b/>
          <w:bCs/>
          <w:i w:val="0"/>
          <w:iCs w:val="0"/>
          <w:color w:val="000000"/>
          <w:sz w:val="32"/>
          <w:szCs w:val="32"/>
          <w:lang w:val="en-US" w:eastAsia="zh-CN"/>
        </w:rPr>
        <w:t>——金融业规模实力显著提升。</w:t>
      </w:r>
      <w:r>
        <w:rPr>
          <w:rFonts w:hint="eastAsia" w:ascii="仿宋_GB2312" w:eastAsia="仿宋_GB2312" w:cs="Times New Roman"/>
          <w:b w:val="0"/>
          <w:bCs w:val="0"/>
          <w:i w:val="0"/>
          <w:iCs w:val="0"/>
          <w:color w:val="000000"/>
          <w:sz w:val="32"/>
          <w:szCs w:val="32"/>
          <w:lang w:val="en-US" w:eastAsia="zh-CN"/>
        </w:rPr>
        <w:t>金融业增加值占地区生产总值的比重逐年提高，2025年力争达到7</w:t>
      </w:r>
      <w:r>
        <w:rPr>
          <w:rFonts w:hint="default" w:ascii="仿宋_GB2312" w:eastAsia="仿宋_GB2312" w:cs="Times New Roman"/>
          <w:b w:val="0"/>
          <w:bCs w:val="0"/>
          <w:i w:val="0"/>
          <w:iCs w:val="0"/>
          <w:color w:val="000000"/>
          <w:sz w:val="32"/>
          <w:szCs w:val="32"/>
          <w:lang w:val="en" w:eastAsia="zh-CN"/>
        </w:rPr>
        <w:t>.5</w:t>
      </w:r>
      <w:r>
        <w:rPr>
          <w:rFonts w:hint="eastAsia" w:ascii="仿宋_GB2312" w:eastAsia="仿宋_GB2312" w:cs="Times New Roman"/>
          <w:b w:val="0"/>
          <w:bCs w:val="0"/>
          <w:i w:val="0"/>
          <w:iCs w:val="0"/>
          <w:color w:val="000000"/>
          <w:sz w:val="32"/>
          <w:szCs w:val="32"/>
          <w:lang w:val="en-US" w:eastAsia="zh-CN"/>
        </w:rPr>
        <w:t>%左右。力争金融机构存、贷款余额分别突破7000亿元和5000亿元，增速高于全省平均增速。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s="Times New Roman"/>
          <w:b/>
          <w:bCs/>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——金融产业体系丰富健全。</w:t>
      </w:r>
      <w:r>
        <w:rPr>
          <w:rFonts w:hint="eastAsia" w:ascii="仿宋_GB2312" w:eastAsia="仿宋_GB2312" w:cs="Times New Roman"/>
          <w:b w:val="0"/>
          <w:bCs w:val="0"/>
          <w:i w:val="0"/>
          <w:iCs w:val="0"/>
          <w:color w:val="000000"/>
          <w:sz w:val="32"/>
          <w:szCs w:val="32"/>
          <w:lang w:val="en-US" w:eastAsia="zh-CN"/>
        </w:rPr>
        <w:t>引进培育各类金融机构、地方新型金融组织、金融服务中介机构、股权投资机构等20家以上，农商行等地方法人金融机构规模实力显著增强，基本形成牌照齐全、竞争有序、错位发展的现代金融组织体系。</w:t>
      </w:r>
    </w:p>
    <w:p>
      <w:pPr>
        <w:spacing w:line="600" w:lineRule="exact"/>
        <w:ind w:firstLine="643" w:firstLineChars="200"/>
        <w:rPr>
          <w:rFonts w:hint="eastAsia" w:ascii="仿宋_GB2312" w:hAnsi="黑体" w:eastAsia="仿宋_GB2312"/>
          <w:sz w:val="32"/>
          <w:szCs w:val="32"/>
        </w:rPr>
      </w:pPr>
      <w:r>
        <w:rPr>
          <w:rFonts w:hint="eastAsia" w:ascii="仿宋_GB2312" w:eastAsia="仿宋_GB2312" w:cs="Times New Roman"/>
          <w:b/>
          <w:bCs/>
          <w:i w:val="0"/>
          <w:iCs w:val="0"/>
          <w:color w:val="000000"/>
          <w:sz w:val="32"/>
          <w:szCs w:val="32"/>
          <w:lang w:val="en-US" w:eastAsia="zh-CN"/>
        </w:rPr>
        <w:t>——金融服务更加精准有力。</w:t>
      </w:r>
      <w:r>
        <w:rPr>
          <w:rFonts w:hint="eastAsia" w:ascii="仿宋" w:hAnsi="仿宋" w:eastAsia="仿宋"/>
          <w:sz w:val="32"/>
          <w:szCs w:val="32"/>
        </w:rPr>
        <w:t>金融对</w:t>
      </w:r>
      <w:r>
        <w:rPr>
          <w:rFonts w:hint="eastAsia" w:ascii="仿宋_GB2312" w:eastAsia="仿宋_GB2312" w:cs="Times New Roman"/>
          <w:b w:val="0"/>
          <w:bCs w:val="0"/>
          <w:i w:val="0"/>
          <w:iCs w:val="0"/>
          <w:color w:val="000000"/>
          <w:sz w:val="32"/>
          <w:szCs w:val="32"/>
          <w:lang w:val="en-US" w:eastAsia="zh-CN"/>
        </w:rPr>
        <w:t>黄河流域生态保护和高质量发展、</w:t>
      </w:r>
      <w:r>
        <w:rPr>
          <w:rFonts w:hint="eastAsia" w:ascii="仿宋" w:hAnsi="仿宋" w:eastAsia="仿宋"/>
          <w:sz w:val="32"/>
          <w:szCs w:val="32"/>
          <w:lang w:eastAsia="zh-CN"/>
        </w:rPr>
        <w:t>制造业强市</w:t>
      </w:r>
      <w:r>
        <w:rPr>
          <w:rFonts w:hint="eastAsia" w:ascii="仿宋" w:hAnsi="仿宋" w:eastAsia="仿宋"/>
          <w:sz w:val="32"/>
          <w:szCs w:val="32"/>
        </w:rPr>
        <w:t>、乡村振兴、</w:t>
      </w:r>
      <w:r>
        <w:rPr>
          <w:rFonts w:hint="eastAsia" w:ascii="仿宋" w:hAnsi="仿宋" w:eastAsia="仿宋"/>
          <w:sz w:val="32"/>
          <w:szCs w:val="32"/>
          <w:lang w:eastAsia="zh-CN"/>
        </w:rPr>
        <w:t>文旅康养目的地</w:t>
      </w:r>
      <w:r>
        <w:rPr>
          <w:rFonts w:hint="eastAsia" w:ascii="仿宋" w:hAnsi="仿宋" w:eastAsia="仿宋"/>
          <w:sz w:val="32"/>
          <w:szCs w:val="32"/>
        </w:rPr>
        <w:t>等重大战略支持</w:t>
      </w:r>
      <w:r>
        <w:rPr>
          <w:rFonts w:hint="eastAsia" w:ascii="仿宋" w:hAnsi="仿宋" w:eastAsia="仿宋"/>
          <w:sz w:val="32"/>
          <w:szCs w:val="32"/>
          <w:lang w:eastAsia="zh-CN"/>
        </w:rPr>
        <w:t>保障</w:t>
      </w:r>
      <w:r>
        <w:rPr>
          <w:rFonts w:hint="eastAsia" w:ascii="仿宋" w:hAnsi="仿宋" w:eastAsia="仿宋"/>
          <w:sz w:val="32"/>
          <w:szCs w:val="32"/>
        </w:rPr>
        <w:t>更加有效，对重点产业、重点区域</w:t>
      </w:r>
      <w:r>
        <w:rPr>
          <w:rFonts w:hint="eastAsia" w:ascii="仿宋_GB2312" w:eastAsia="仿宋_GB2312" w:cs="Times New Roman"/>
          <w:b w:val="0"/>
          <w:bCs w:val="0"/>
          <w:i w:val="0"/>
          <w:iCs w:val="0"/>
          <w:color w:val="000000"/>
          <w:sz w:val="32"/>
          <w:szCs w:val="32"/>
          <w:lang w:val="en-US" w:eastAsia="zh-CN"/>
        </w:rPr>
        <w:t>的支持更加精准有效，制造业金融、</w:t>
      </w:r>
      <w:r>
        <w:rPr>
          <w:rFonts w:hint="eastAsia" w:ascii="仿宋" w:hAnsi="仿宋" w:eastAsia="仿宋"/>
          <w:sz w:val="32"/>
          <w:szCs w:val="32"/>
        </w:rPr>
        <w:t>科技金融、普惠金融、</w:t>
      </w:r>
      <w:r>
        <w:rPr>
          <w:rFonts w:hint="eastAsia" w:ascii="仿宋_GB2312" w:eastAsia="仿宋_GB2312" w:cs="Times New Roman"/>
          <w:b w:val="0"/>
          <w:bCs w:val="0"/>
          <w:i w:val="0"/>
          <w:iCs w:val="0"/>
          <w:color w:val="000000"/>
          <w:sz w:val="32"/>
          <w:szCs w:val="32"/>
          <w:lang w:val="en-US" w:eastAsia="zh-CN"/>
        </w:rPr>
        <w:t>农村金融、绿色金融、文旅金融、康养</w:t>
      </w:r>
      <w:r>
        <w:rPr>
          <w:rFonts w:hint="eastAsia" w:ascii="仿宋" w:hAnsi="仿宋" w:eastAsia="仿宋"/>
          <w:sz w:val="32"/>
          <w:szCs w:val="32"/>
        </w:rPr>
        <w:t>金融等实现精准化</w:t>
      </w:r>
      <w:r>
        <w:rPr>
          <w:rFonts w:hint="eastAsia" w:ascii="仿宋" w:hAnsi="仿宋" w:eastAsia="仿宋"/>
          <w:sz w:val="32"/>
          <w:szCs w:val="32"/>
          <w:lang w:eastAsia="zh-CN"/>
        </w:rPr>
        <w:t>、</w:t>
      </w:r>
      <w:r>
        <w:rPr>
          <w:rFonts w:hint="eastAsia" w:ascii="仿宋" w:hAnsi="仿宋" w:eastAsia="仿宋"/>
          <w:sz w:val="32"/>
          <w:szCs w:val="32"/>
        </w:rPr>
        <w:t>特色化发展。</w:t>
      </w:r>
    </w:p>
    <w:p>
      <w:pPr>
        <w:spacing w:line="600" w:lineRule="exact"/>
        <w:ind w:firstLine="643" w:firstLineChars="200"/>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——企业上市数量实现倍增。</w:t>
      </w:r>
      <w:r>
        <w:rPr>
          <w:rFonts w:hint="eastAsia" w:ascii="仿宋_GB2312" w:eastAsia="仿宋_GB2312" w:cs="Times New Roman"/>
          <w:b w:val="0"/>
          <w:bCs w:val="0"/>
          <w:i w:val="0"/>
          <w:iCs w:val="0"/>
          <w:color w:val="000000"/>
          <w:sz w:val="32"/>
          <w:szCs w:val="32"/>
          <w:lang w:val="en-US" w:eastAsia="zh-CN"/>
        </w:rPr>
        <w:t>把握证券发行注册制改革、北交所设立重大机遇，加快推动先进制造业等领域优质企业上市。“十四五”期间，全市省级上市后备资源库重点企业扩展到50家以上并及时动态调整，力争上市公司数量5年翻番，</w:t>
      </w:r>
      <w:r>
        <w:rPr>
          <w:rFonts w:hint="eastAsia" w:ascii="仿宋" w:hAnsi="仿宋" w:eastAsia="仿宋"/>
          <w:sz w:val="32"/>
          <w:szCs w:val="32"/>
        </w:rPr>
        <w:t>直接融资规模不断扩大。</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——金融改革开放持续深化。</w:t>
      </w:r>
      <w:r>
        <w:rPr>
          <w:rFonts w:hint="eastAsia" w:ascii="仿宋_GB2312" w:eastAsia="仿宋_GB2312" w:cs="Times New Roman"/>
          <w:b w:val="0"/>
          <w:bCs w:val="0"/>
          <w:i w:val="0"/>
          <w:iCs w:val="0"/>
          <w:color w:val="000000"/>
          <w:sz w:val="32"/>
          <w:szCs w:val="32"/>
          <w:lang w:val="en-US" w:eastAsia="zh-CN"/>
        </w:rPr>
        <w:t>加快金融供给侧结构性改革，深化新旧动能重大工程等领域金融服务，探索建立一体化、特色化的金融创新体系。借力省会经济圈等优惠政策，加强区域金融合作，金融发展理念、层级不断提升。加大企业“走出去”“引进来”金融支持力度，深化跨境电商等金融服务，跨境结算便利度进一步提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——金融生态环境明显优化。</w:t>
      </w:r>
      <w:r>
        <w:rPr>
          <w:rFonts w:hint="eastAsia" w:ascii="仿宋_GB2312" w:eastAsia="仿宋_GB2312" w:cs="Times New Roman"/>
          <w:b w:val="0"/>
          <w:bCs w:val="0"/>
          <w:i w:val="0"/>
          <w:iCs w:val="0"/>
          <w:color w:val="000000"/>
          <w:sz w:val="32"/>
          <w:szCs w:val="32"/>
          <w:lang w:val="en-US" w:eastAsia="zh-CN"/>
        </w:rPr>
        <w:t>金融监管体系更加健全，政策、法治、人才、舆论等环境持续优化，社会信用生态明显改善，银行不良贷款率降至全省平均水平，企业流动性风险、上市公司风险、非法金融活动等领域风险得到有效化解，守住兜牢金融安全底线。</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CESI黑体-GB2312" w:hAnsi="CESI黑体-GB2312" w:eastAsia="CESI黑体-GB2312" w:cs="CESI黑体-GB2312"/>
          <w:sz w:val="32"/>
          <w:szCs w:val="32"/>
          <w:lang w:eastAsia="zh-CN"/>
        </w:rPr>
      </w:pP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CESI黑体-GB2312" w:hAnsi="CESI黑体-GB2312" w:eastAsia="CESI黑体-GB2312" w:cs="CESI黑体-GB2312"/>
          <w:sz w:val="32"/>
          <w:szCs w:val="32"/>
          <w:lang w:eastAsia="zh-CN"/>
        </w:rPr>
      </w:pPr>
      <w:r>
        <w:rPr>
          <w:rFonts w:hint="eastAsia" w:ascii="CESI黑体-GB2312" w:hAnsi="CESI黑体-GB2312" w:eastAsia="CESI黑体-GB2312" w:cs="CESI黑体-GB2312"/>
          <w:sz w:val="32"/>
          <w:szCs w:val="32"/>
          <w:lang w:eastAsia="zh-CN"/>
        </w:rPr>
        <w:br w:type="textWrapping"/>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CESI黑体-GB2312" w:hAnsi="CESI黑体-GB2312" w:eastAsia="CESI黑体-GB2312" w:cs="CESI黑体-GB2312"/>
          <w:sz w:val="32"/>
          <w:szCs w:val="32"/>
          <w:lang w:eastAsia="zh-CN"/>
        </w:rPr>
      </w:pP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CESI黑体-GB2312" w:hAnsi="CESI黑体-GB2312" w:eastAsia="CESI黑体-GB2312" w:cs="CESI黑体-GB2312"/>
          <w:sz w:val="32"/>
          <w:szCs w:val="32"/>
          <w:lang w:eastAsia="zh-CN"/>
        </w:rPr>
      </w:pP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CESI黑体-GB2312" w:hAnsi="CESI黑体-GB2312" w:eastAsia="CESI黑体-GB2312" w:cs="CESI黑体-GB2312"/>
          <w:sz w:val="32"/>
          <w:szCs w:val="32"/>
          <w:lang w:eastAsia="zh-CN"/>
        </w:rPr>
      </w:pP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CESI黑体-GB2312" w:hAnsi="CESI黑体-GB2312" w:eastAsia="CESI黑体-GB2312" w:cs="CESI黑体-GB2312"/>
          <w:sz w:val="32"/>
          <w:szCs w:val="32"/>
          <w:lang w:eastAsia="zh-CN"/>
        </w:rPr>
      </w:pP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CESI黑体-GB2312" w:hAnsi="CESI黑体-GB2312" w:eastAsia="CESI黑体-GB2312" w:cs="CESI黑体-GB2312"/>
          <w:sz w:val="32"/>
          <w:szCs w:val="32"/>
          <w:lang w:eastAsia="zh-CN"/>
        </w:rPr>
      </w:pP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CESI黑体-GB2312" w:hAnsi="CESI黑体-GB2312" w:eastAsia="CESI黑体-GB2312" w:cs="CESI黑体-GB2312"/>
          <w:sz w:val="32"/>
          <w:szCs w:val="32"/>
          <w:lang w:eastAsia="zh-CN"/>
        </w:rPr>
      </w:pP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CESI黑体-GB2312" w:hAnsi="CESI黑体-GB2312" w:eastAsia="CESI黑体-GB2312" w:cs="CESI黑体-GB2312"/>
          <w:sz w:val="32"/>
          <w:szCs w:val="32"/>
          <w:lang w:eastAsia="zh-CN"/>
        </w:rPr>
      </w:pP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CESI黑体-GB2312" w:hAnsi="CESI黑体-GB2312" w:eastAsia="CESI黑体-GB2312" w:cs="CESI黑体-GB2312"/>
          <w:sz w:val="32"/>
          <w:szCs w:val="32"/>
          <w:lang w:eastAsia="zh-CN"/>
        </w:rPr>
      </w:pP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CESI黑体-GB2312" w:hAnsi="CESI黑体-GB2312" w:eastAsia="CESI黑体-GB2312" w:cs="CESI黑体-GB2312"/>
          <w:sz w:val="32"/>
          <w:szCs w:val="32"/>
          <w:lang w:eastAsia="zh-CN"/>
        </w:rPr>
      </w:pPr>
    </w:p>
    <w:p>
      <w:pPr>
        <w:keepNext/>
        <w:keepLines/>
        <w:pageBreakBefore w:val="0"/>
        <w:widowControl w:val="0"/>
        <w:numPr>
          <w:ilvl w:val="0"/>
          <w:numId w:val="0"/>
        </w:numPr>
        <w:kinsoku/>
        <w:wordWrap/>
        <w:overflowPunct/>
        <w:topLinePunct w:val="0"/>
        <w:autoSpaceDE/>
        <w:autoSpaceDN/>
        <w:bidi w:val="0"/>
        <w:adjustRightInd/>
        <w:snapToGrid/>
        <w:spacing w:before="0" w:after="0" w:line="600" w:lineRule="exact"/>
        <w:ind w:firstLine="720" w:firstLineChars="200"/>
        <w:jc w:val="both"/>
        <w:textAlignment w:val="auto"/>
        <w:outlineLvl w:val="0"/>
        <w:rPr>
          <w:rFonts w:hint="eastAsia" w:ascii="CESI黑体-GB2312" w:hAnsi="CESI黑体-GB2312" w:eastAsia="CESI黑体-GB2312" w:cs="CESI黑体-GB2312"/>
          <w:sz w:val="36"/>
          <w:szCs w:val="36"/>
          <w:lang w:val="en-US" w:eastAsia="zh-CN"/>
        </w:rPr>
      </w:pPr>
      <w:bookmarkStart w:id="53" w:name="_Toc1985298521_WPSOffice_Level1"/>
      <w:r>
        <w:rPr>
          <w:rFonts w:hint="eastAsia" w:ascii="CESI黑体-GB2312" w:hAnsi="CESI黑体-GB2312" w:eastAsia="CESI黑体-GB2312" w:cs="CESI黑体-GB2312"/>
          <w:sz w:val="36"/>
          <w:szCs w:val="36"/>
          <w:lang w:eastAsia="zh-CN"/>
        </w:rPr>
        <w:t>第三部分</w:t>
      </w:r>
      <w:r>
        <w:rPr>
          <w:rFonts w:hint="eastAsia" w:ascii="CESI黑体-GB2312" w:hAnsi="CESI黑体-GB2312" w:eastAsia="CESI黑体-GB2312" w:cs="CESI黑体-GB2312"/>
          <w:sz w:val="36"/>
          <w:szCs w:val="36"/>
        </w:rPr>
        <w:t xml:space="preserve"> </w:t>
      </w:r>
      <w:r>
        <w:rPr>
          <w:rFonts w:hint="default" w:ascii="黑体" w:hAnsi="黑体" w:eastAsia="黑体" w:cs="黑体"/>
          <w:b w:val="0"/>
          <w:bCs w:val="0"/>
          <w:snapToGrid w:val="0"/>
          <w:kern w:val="0"/>
          <w:sz w:val="36"/>
          <w:szCs w:val="36"/>
          <w:lang w:val="en-US" w:eastAsia="zh-CN" w:bidi="ar-SA"/>
        </w:rPr>
        <w:t xml:space="preserve"> </w:t>
      </w:r>
      <w:bookmarkEnd w:id="53"/>
      <w:r>
        <w:rPr>
          <w:rFonts w:hint="default" w:ascii="仿宋" w:hAnsi="仿宋" w:eastAsia="仿宋" w:cs="Times New Roman"/>
          <w:b w:val="0"/>
          <w:bCs w:val="0"/>
          <w:sz w:val="28"/>
          <w:szCs w:val="28"/>
        </w:rPr>
        <w:t xml:space="preserve"> </w:t>
      </w:r>
      <w:r>
        <w:rPr>
          <w:rFonts w:hint="eastAsia" w:ascii="CESI黑体-GB2312" w:hAnsi="CESI黑体-GB2312" w:eastAsia="CESI黑体-GB2312" w:cs="CESI黑体-GB2312"/>
          <w:sz w:val="36"/>
          <w:szCs w:val="36"/>
          <w:lang w:eastAsia="zh-CN"/>
        </w:rPr>
        <w:t>聚焦金融产业高质量发展</w:t>
      </w:r>
      <w:r>
        <w:rPr>
          <w:rFonts w:hint="eastAsia" w:ascii="CESI黑体-GB2312" w:hAnsi="CESI黑体-GB2312" w:eastAsia="CESI黑体-GB2312" w:cs="CESI黑体-GB2312"/>
          <w:sz w:val="36"/>
          <w:szCs w:val="36"/>
          <w:lang w:val="en-US" w:eastAsia="zh-CN"/>
        </w:rPr>
        <w:t xml:space="preserve"> </w:t>
      </w:r>
      <w:r>
        <w:rPr>
          <w:rFonts w:hint="eastAsia" w:ascii="CESI黑体-GB2312" w:hAnsi="CESI黑体-GB2312" w:eastAsia="CESI黑体-GB2312" w:cs="CESI黑体-GB2312"/>
          <w:sz w:val="36"/>
          <w:szCs w:val="36"/>
          <w:lang w:eastAsia="zh-CN"/>
        </w:rPr>
        <w:t>实施金融塑强工程</w:t>
      </w:r>
    </w:p>
    <w:p>
      <w:pPr>
        <w:keepNext/>
        <w:keepLines/>
        <w:widowControl w:val="0"/>
        <w:numPr>
          <w:ilvl w:val="0"/>
          <w:numId w:val="0"/>
        </w:numPr>
        <w:spacing w:before="0" w:after="0" w:line="560" w:lineRule="exact"/>
        <w:jc w:val="both"/>
        <w:outlineLvl w:val="0"/>
        <w:rPr>
          <w:rFonts w:hint="eastAsia" w:ascii="黑体" w:hAnsi="黑体" w:eastAsia="黑体" w:cs="黑体"/>
          <w:b w:val="0"/>
          <w:bCs w:val="0"/>
          <w:snapToGrid w:val="0"/>
          <w:kern w:val="0"/>
          <w:sz w:val="32"/>
          <w:szCs w:val="32"/>
          <w:lang w:val="en-US" w:eastAsia="zh-CN" w:bidi="ar-SA"/>
        </w:rPr>
      </w:pPr>
    </w:p>
    <w:p>
      <w:pPr>
        <w:pStyle w:val="18"/>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Fonts w:hint="eastAsia" w:ascii="黑体" w:hAnsi="黑体" w:eastAsia="黑体" w:cs="黑体"/>
          <w:b w:val="0"/>
          <w:bCs w:val="0"/>
          <w:snapToGrid w:val="0"/>
          <w:kern w:val="0"/>
          <w:sz w:val="32"/>
          <w:szCs w:val="32"/>
          <w:lang w:val="en-US" w:eastAsia="zh-CN" w:bidi="ar-SA"/>
        </w:rPr>
      </w:pPr>
      <w:r>
        <w:rPr>
          <w:rFonts w:hint="eastAsia" w:ascii="黑体" w:hAnsi="黑体" w:eastAsia="黑体" w:cs="黑体"/>
          <w:b w:val="0"/>
          <w:bCs w:val="0"/>
          <w:snapToGrid w:val="0"/>
          <w:kern w:val="0"/>
          <w:sz w:val="32"/>
          <w:szCs w:val="32"/>
          <w:lang w:val="en-US" w:eastAsia="zh-CN" w:bidi="ar-SA"/>
        </w:rPr>
        <w:t xml:space="preserve"> </w:t>
      </w:r>
      <w:bookmarkStart w:id="54" w:name="_Toc1091508523_WPSOffice_Level2"/>
      <w:r>
        <w:rPr>
          <w:rFonts w:hint="eastAsia" w:ascii="黑体" w:hAnsi="黑体" w:eastAsia="黑体" w:cs="黑体"/>
          <w:b w:val="0"/>
          <w:bCs w:val="0"/>
          <w:snapToGrid w:val="0"/>
          <w:kern w:val="0"/>
          <w:sz w:val="32"/>
          <w:szCs w:val="32"/>
          <w:lang w:val="en-US" w:eastAsia="zh-CN" w:bidi="ar-SA"/>
        </w:rPr>
        <w:t>塑强地方金融组织体系</w:t>
      </w:r>
      <w:bookmarkEnd w:id="54"/>
    </w:p>
    <w:p>
      <w:pPr>
        <w:pStyle w:val="1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Chars="0" w:right="0" w:rightChars="0"/>
        <w:jc w:val="both"/>
        <w:textAlignment w:val="auto"/>
        <w:rPr>
          <w:rFonts w:hint="default" w:ascii="黑体" w:hAnsi="黑体" w:eastAsia="黑体" w:cs="黑体"/>
          <w:b w:val="0"/>
          <w:bCs w:val="0"/>
          <w:snapToGrid w:val="0"/>
          <w:kern w:val="0"/>
          <w:sz w:val="32"/>
          <w:szCs w:val="32"/>
          <w:lang w:val="en" w:eastAsia="zh-CN" w:bidi="ar-SA"/>
        </w:rPr>
      </w:pPr>
      <w:r>
        <w:rPr>
          <w:rFonts w:hint="default" w:ascii="黑体" w:hAnsi="黑体" w:eastAsia="黑体" w:cs="黑体"/>
          <w:b w:val="0"/>
          <w:bCs w:val="0"/>
          <w:snapToGrid w:val="0"/>
          <w:kern w:val="0"/>
          <w:sz w:val="32"/>
          <w:szCs w:val="32"/>
          <w:lang w:val="en" w:eastAsia="zh-CN" w:bidi="ar-SA"/>
        </w:rPr>
        <w:t xml:space="preserve">   </w:t>
      </w:r>
    </w:p>
    <w:p>
      <w:pPr>
        <w:pStyle w:val="5"/>
        <w:pageBreakBefore w:val="0"/>
        <w:numPr>
          <w:ilvl w:val="0"/>
          <w:numId w:val="0"/>
        </w:numPr>
        <w:kinsoku/>
        <w:wordWrap/>
        <w:overflowPunct/>
        <w:topLinePunct w:val="0"/>
        <w:autoSpaceDE/>
        <w:autoSpaceDN/>
        <w:bidi w:val="0"/>
        <w:adjustRightInd/>
        <w:snapToGrid/>
        <w:spacing w:line="600" w:lineRule="exact"/>
        <w:ind w:leftChars="0" w:firstLine="522"/>
        <w:jc w:val="both"/>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val="0"/>
          <w:bCs w:val="0"/>
          <w:i w:val="0"/>
          <w:iCs w:val="0"/>
          <w:color w:val="000000"/>
          <w:sz w:val="32"/>
          <w:szCs w:val="32"/>
          <w:lang w:val="en-US" w:eastAsia="zh-CN"/>
        </w:rPr>
        <w:t>坚持“外引内育”相结合，精准开展金融招商，加强本土金融机构的培育，有效</w:t>
      </w:r>
      <w:r>
        <w:rPr>
          <w:rFonts w:hint="default" w:ascii="仿宋_GB2312" w:eastAsia="仿宋_GB2312" w:cs="Times New Roman"/>
          <w:b w:val="0"/>
          <w:bCs w:val="0"/>
          <w:i w:val="0"/>
          <w:iCs w:val="0"/>
          <w:color w:val="000000"/>
          <w:sz w:val="32"/>
          <w:szCs w:val="32"/>
          <w:lang w:val="en-US" w:eastAsia="zh-CN"/>
        </w:rPr>
        <w:t>优化金融组织体系结构</w:t>
      </w:r>
      <w:r>
        <w:rPr>
          <w:rFonts w:hint="eastAsia" w:ascii="仿宋_GB2312" w:eastAsia="仿宋_GB2312" w:cs="Times New Roman"/>
          <w:b w:val="0"/>
          <w:bCs w:val="0"/>
          <w:i w:val="0"/>
          <w:iCs w:val="0"/>
          <w:color w:val="000000"/>
          <w:sz w:val="32"/>
          <w:szCs w:val="32"/>
          <w:lang w:val="en-US" w:eastAsia="zh-CN"/>
        </w:rPr>
        <w:t>，有效</w:t>
      </w:r>
      <w:r>
        <w:rPr>
          <w:rFonts w:hint="default" w:ascii="仿宋_GB2312" w:eastAsia="仿宋_GB2312" w:cs="Times New Roman"/>
          <w:b w:val="0"/>
          <w:bCs w:val="0"/>
          <w:i w:val="0"/>
          <w:iCs w:val="0"/>
          <w:color w:val="000000"/>
          <w:sz w:val="32"/>
          <w:szCs w:val="32"/>
          <w:lang w:val="en-US" w:eastAsia="zh-CN"/>
        </w:rPr>
        <w:t>提升</w:t>
      </w:r>
      <w:r>
        <w:rPr>
          <w:rFonts w:hint="eastAsia" w:ascii="仿宋_GB2312" w:eastAsia="仿宋_GB2312" w:cs="Times New Roman"/>
          <w:b w:val="0"/>
          <w:bCs w:val="0"/>
          <w:i w:val="0"/>
          <w:iCs w:val="0"/>
          <w:color w:val="000000"/>
          <w:sz w:val="32"/>
          <w:szCs w:val="32"/>
          <w:lang w:val="en-US" w:eastAsia="zh-CN"/>
        </w:rPr>
        <w:t>地方</w:t>
      </w:r>
      <w:r>
        <w:rPr>
          <w:rFonts w:hint="default" w:ascii="仿宋_GB2312" w:eastAsia="仿宋_GB2312" w:cs="Times New Roman"/>
          <w:b w:val="0"/>
          <w:bCs w:val="0"/>
          <w:i w:val="0"/>
          <w:iCs w:val="0"/>
          <w:color w:val="000000"/>
          <w:sz w:val="32"/>
          <w:szCs w:val="32"/>
          <w:lang w:val="en-US" w:eastAsia="zh-CN"/>
        </w:rPr>
        <w:t>金融</w:t>
      </w:r>
      <w:r>
        <w:rPr>
          <w:rFonts w:hint="eastAsia" w:ascii="仿宋_GB2312" w:eastAsia="仿宋_GB2312" w:cs="Times New Roman"/>
          <w:b w:val="0"/>
          <w:bCs w:val="0"/>
          <w:i w:val="0"/>
          <w:iCs w:val="0"/>
          <w:color w:val="000000"/>
          <w:sz w:val="32"/>
          <w:szCs w:val="32"/>
          <w:lang w:val="en-US" w:eastAsia="zh-CN"/>
        </w:rPr>
        <w:t>综合</w:t>
      </w:r>
      <w:r>
        <w:rPr>
          <w:rFonts w:hint="default" w:ascii="仿宋_GB2312" w:eastAsia="仿宋_GB2312" w:cs="Times New Roman"/>
          <w:b w:val="0"/>
          <w:bCs w:val="0"/>
          <w:i w:val="0"/>
          <w:iCs w:val="0"/>
          <w:color w:val="000000"/>
          <w:sz w:val="32"/>
          <w:szCs w:val="32"/>
          <w:lang w:val="en-US" w:eastAsia="zh-CN"/>
        </w:rPr>
        <w:t>竞争力</w:t>
      </w:r>
      <w:r>
        <w:rPr>
          <w:rFonts w:hint="eastAsia" w:ascii="仿宋_GB2312" w:eastAsia="仿宋_GB2312" w:cs="Times New Roman"/>
          <w:b w:val="0"/>
          <w:bCs w:val="0"/>
          <w:i w:val="0"/>
          <w:iCs w:val="0"/>
          <w:color w:val="000000"/>
          <w:sz w:val="32"/>
          <w:szCs w:val="32"/>
          <w:lang w:val="en-US" w:eastAsia="zh-CN"/>
        </w:rPr>
        <w:t>，实现金融产业经济价值和生态价值的持续提升。</w:t>
      </w:r>
    </w:p>
    <w:p>
      <w:pPr>
        <w:keepNext w:val="0"/>
        <w:keepLines w:val="0"/>
        <w:widowControl/>
        <w:suppressLineNumbers w:val="0"/>
        <w:ind w:firstLine="643" w:firstLineChars="200"/>
        <w:jc w:val="both"/>
        <w:rPr>
          <w:rFonts w:hint="eastAsia" w:ascii="仿宋_GB2312" w:eastAsia="仿宋_GB2312" w:cs="Times New Roman" w:hAnsiTheme="minorHAnsi"/>
          <w:b w:val="0"/>
          <w:bCs w:val="0"/>
          <w:i w:val="0"/>
          <w:iCs w:val="0"/>
          <w:color w:val="000000"/>
          <w:kern w:val="2"/>
          <w:sz w:val="32"/>
          <w:szCs w:val="32"/>
          <w:lang w:val="en-US" w:eastAsia="zh-CN" w:bidi="ar-SA"/>
        </w:rPr>
      </w:pPr>
      <w:r>
        <w:rPr>
          <w:rFonts w:hint="eastAsia" w:ascii="仿宋_GB2312" w:eastAsia="仿宋_GB2312" w:cs="Times New Roman" w:hAnsiTheme="minorHAnsi"/>
          <w:b/>
          <w:bCs/>
          <w:i w:val="0"/>
          <w:iCs w:val="0"/>
          <w:color w:val="000000"/>
          <w:kern w:val="2"/>
          <w:sz w:val="32"/>
          <w:szCs w:val="32"/>
          <w:lang w:val="en-US" w:eastAsia="zh-CN" w:bidi="ar-SA"/>
        </w:rPr>
        <w:t>深化地方法人银行机构改革。</w:t>
      </w:r>
      <w:r>
        <w:rPr>
          <w:rFonts w:hint="eastAsia" w:ascii="仿宋_GB2312" w:eastAsia="仿宋_GB2312" w:cs="Times New Roman" w:hAnsiTheme="minorHAnsi"/>
          <w:b w:val="0"/>
          <w:bCs w:val="0"/>
          <w:i w:val="0"/>
          <w:iCs w:val="0"/>
          <w:color w:val="000000"/>
          <w:kern w:val="2"/>
          <w:sz w:val="32"/>
          <w:szCs w:val="32"/>
          <w:lang w:val="en-US" w:eastAsia="zh-CN" w:bidi="ar-SA"/>
        </w:rPr>
        <w:t>推动地方法人银行机构落实“三会一层”制度，建立产权清晰、权责明确、决策科学、监督有效的运行机制，</w:t>
      </w:r>
      <w:r>
        <w:rPr>
          <w:rFonts w:hint="eastAsia" w:ascii="仿宋_GB2312" w:eastAsia="仿宋_GB2312" w:cs="Times New Roman"/>
          <w:b w:val="0"/>
          <w:bCs w:val="0"/>
          <w:i w:val="0"/>
          <w:iCs w:val="0"/>
          <w:color w:val="000000"/>
          <w:kern w:val="2"/>
          <w:sz w:val="32"/>
          <w:szCs w:val="32"/>
          <w:lang w:val="en-US" w:eastAsia="zh-CN" w:bidi="ar-SA"/>
        </w:rPr>
        <w:t>培育合规文化、强化合规建议，</w:t>
      </w:r>
      <w:r>
        <w:rPr>
          <w:rFonts w:hint="eastAsia" w:ascii="仿宋_GB2312" w:eastAsia="仿宋_GB2312" w:cs="Times New Roman" w:hAnsiTheme="minorHAnsi"/>
          <w:b w:val="0"/>
          <w:bCs w:val="0"/>
          <w:i w:val="0"/>
          <w:iCs w:val="0"/>
          <w:color w:val="000000"/>
          <w:kern w:val="2"/>
          <w:sz w:val="32"/>
          <w:szCs w:val="32"/>
          <w:lang w:val="en-US" w:eastAsia="zh-CN" w:bidi="ar-SA"/>
        </w:rPr>
        <w:t>提升公司化治理水平。</w:t>
      </w:r>
      <w:r>
        <w:rPr>
          <w:rFonts w:hint="eastAsia" w:ascii="仿宋_GB2312" w:eastAsia="仿宋_GB2312" w:cs="Times New Roman"/>
          <w:b w:val="0"/>
          <w:bCs w:val="0"/>
          <w:i w:val="0"/>
          <w:iCs w:val="0"/>
          <w:color w:val="000000"/>
          <w:kern w:val="2"/>
          <w:sz w:val="32"/>
          <w:szCs w:val="32"/>
          <w:lang w:val="en-US" w:eastAsia="zh-CN" w:bidi="ar-SA"/>
        </w:rPr>
        <w:t>支持地方法人银行坚守支农支小服务主业，</w:t>
      </w:r>
      <w:r>
        <w:rPr>
          <w:rFonts w:hint="eastAsia" w:ascii="仿宋_GB2312" w:eastAsia="仿宋_GB2312" w:cs="Times New Roman" w:hAnsiTheme="minorHAnsi"/>
          <w:b w:val="0"/>
          <w:bCs w:val="0"/>
          <w:i w:val="0"/>
          <w:iCs w:val="0"/>
          <w:color w:val="000000"/>
          <w:kern w:val="2"/>
          <w:sz w:val="32"/>
          <w:szCs w:val="32"/>
          <w:lang w:val="en-US" w:eastAsia="zh-CN" w:bidi="ar-SA"/>
        </w:rPr>
        <w:t>利用互联网、大数据、人工智能、物联网等技术，进行业务流程改造、金融产品创新和内部风险控制，增强核心竞争力。支持优质地方法人机构通过发行小微企业专项金融债、按照市场原则引入战略投资者、对接多层次资本市场等方式拓宽资本补充渠道，提高资本实力。</w:t>
      </w:r>
    </w:p>
    <w:p>
      <w:pPr>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s="Times New Roman" w:hAnsiTheme="minorHAnsi"/>
          <w:b w:val="0"/>
          <w:bCs w:val="0"/>
          <w:i w:val="0"/>
          <w:iCs w:val="0"/>
          <w:color w:val="000000"/>
          <w:kern w:val="2"/>
          <w:sz w:val="32"/>
          <w:szCs w:val="32"/>
          <w:lang w:val="en-US" w:eastAsia="zh-CN" w:bidi="ar-SA"/>
        </w:rPr>
      </w:pPr>
      <w:r>
        <w:rPr>
          <w:rFonts w:ascii="仿宋" w:hAnsi="仿宋" w:eastAsia="仿宋" w:cs="CESI仿宋-GB2312"/>
          <w:b/>
          <w:bCs/>
          <w:sz w:val="32"/>
          <w:szCs w:val="32"/>
        </w:rPr>
        <w:t>培育壮大新业态金融服务机构。</w:t>
      </w:r>
      <w:r>
        <w:rPr>
          <w:rFonts w:hint="eastAsia" w:ascii="仿宋_GB2312" w:eastAsia="仿宋_GB2312" w:cs="Times New Roman"/>
          <w:b w:val="0"/>
          <w:bCs w:val="0"/>
          <w:i w:val="0"/>
          <w:iCs w:val="0"/>
          <w:color w:val="000000"/>
          <w:kern w:val="2"/>
          <w:sz w:val="32"/>
          <w:szCs w:val="32"/>
          <w:lang w:val="en-US" w:eastAsia="zh-CN" w:bidi="ar-SA"/>
        </w:rPr>
        <w:t>实施金融精准招商</w:t>
      </w:r>
      <w:r>
        <w:rPr>
          <w:rFonts w:hint="eastAsia" w:ascii="仿宋_GB2312" w:eastAsia="仿宋_GB2312" w:cs="Times New Roman" w:hAnsiTheme="minorHAnsi"/>
          <w:b w:val="0"/>
          <w:bCs w:val="0"/>
          <w:i w:val="0"/>
          <w:iCs w:val="0"/>
          <w:color w:val="000000"/>
          <w:kern w:val="2"/>
          <w:sz w:val="32"/>
          <w:szCs w:val="32"/>
          <w:lang w:val="en-US" w:eastAsia="zh-CN" w:bidi="ar-SA"/>
        </w:rPr>
        <w:t>，积极引入区域性、功能性金融机构总部和金融租赁公司、消费金融公司、公募基金管理公司、资产管理公司等紧缺型金融机构。促进中介服务产业加快发展</w:t>
      </w:r>
      <w:r>
        <w:rPr>
          <w:rFonts w:hint="eastAsia" w:ascii="仿宋_GB2312" w:eastAsia="仿宋_GB2312" w:cs="Times New Roman"/>
          <w:b w:val="0"/>
          <w:bCs w:val="0"/>
          <w:i w:val="0"/>
          <w:iCs w:val="0"/>
          <w:color w:val="000000"/>
          <w:kern w:val="2"/>
          <w:sz w:val="32"/>
          <w:szCs w:val="32"/>
          <w:lang w:val="en-US" w:eastAsia="zh-CN" w:bidi="ar-SA"/>
        </w:rPr>
        <w:t>，</w:t>
      </w:r>
      <w:r>
        <w:rPr>
          <w:rFonts w:hint="eastAsia" w:ascii="仿宋_GB2312" w:eastAsia="仿宋_GB2312" w:cs="Times New Roman" w:hAnsiTheme="minorHAnsi"/>
          <w:b w:val="0"/>
          <w:bCs w:val="0"/>
          <w:i w:val="0"/>
          <w:iCs w:val="0"/>
          <w:color w:val="000000"/>
          <w:kern w:val="2"/>
          <w:sz w:val="32"/>
          <w:szCs w:val="32"/>
          <w:lang w:val="en-US" w:eastAsia="zh-CN" w:bidi="ar-SA"/>
        </w:rPr>
        <w:t>支持新设立或新引进资产评估机构、信用评级机构等</w:t>
      </w:r>
      <w:r>
        <w:rPr>
          <w:rFonts w:hint="eastAsia" w:ascii="仿宋_GB2312" w:eastAsia="仿宋_GB2312" w:cs="Times New Roman"/>
          <w:b w:val="0"/>
          <w:bCs w:val="0"/>
          <w:i w:val="0"/>
          <w:iCs w:val="0"/>
          <w:color w:val="000000"/>
          <w:kern w:val="2"/>
          <w:sz w:val="32"/>
          <w:szCs w:val="32"/>
          <w:lang w:val="en-US" w:eastAsia="zh-CN" w:bidi="ar-SA"/>
        </w:rPr>
        <w:t>紧缺型</w:t>
      </w:r>
      <w:r>
        <w:rPr>
          <w:rFonts w:hint="eastAsia" w:ascii="仿宋_GB2312" w:eastAsia="仿宋_GB2312" w:cs="Times New Roman" w:hAnsiTheme="minorHAnsi"/>
          <w:b w:val="0"/>
          <w:bCs w:val="0"/>
          <w:i w:val="0"/>
          <w:iCs w:val="0"/>
          <w:color w:val="000000"/>
          <w:kern w:val="2"/>
          <w:sz w:val="32"/>
          <w:szCs w:val="32"/>
          <w:lang w:val="en-US" w:eastAsia="zh-CN" w:bidi="ar-SA"/>
        </w:rPr>
        <w:t>金融服务机构</w:t>
      </w:r>
      <w:r>
        <w:rPr>
          <w:rFonts w:hint="eastAsia" w:ascii="仿宋_GB2312" w:eastAsia="仿宋_GB2312" w:cs="Times New Roman"/>
          <w:b w:val="0"/>
          <w:bCs w:val="0"/>
          <w:i w:val="0"/>
          <w:iCs w:val="0"/>
          <w:color w:val="000000"/>
          <w:kern w:val="2"/>
          <w:sz w:val="32"/>
          <w:szCs w:val="32"/>
          <w:lang w:val="en-US" w:eastAsia="zh-CN" w:bidi="ar-SA"/>
        </w:rPr>
        <w:t>。</w:t>
      </w:r>
      <w:r>
        <w:rPr>
          <w:rFonts w:hint="eastAsia" w:ascii="仿宋_GB2312" w:eastAsia="仿宋_GB2312" w:cs="Times New Roman" w:hAnsiTheme="minorHAnsi"/>
          <w:b w:val="0"/>
          <w:bCs w:val="0"/>
          <w:i w:val="0"/>
          <w:iCs w:val="0"/>
          <w:color w:val="000000"/>
          <w:kern w:val="2"/>
          <w:sz w:val="32"/>
          <w:szCs w:val="32"/>
          <w:lang w:val="en-US" w:eastAsia="zh-CN" w:bidi="ar-SA"/>
        </w:rPr>
        <w:t>鼓励社会资本和大型企业在我市发起设立民营银行、法人保险公司、金融租赁公司等金融类法人机构。</w:t>
      </w:r>
    </w:p>
    <w:tbl>
      <w:tblPr>
        <w:tblStyle w:val="19"/>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4" w:type="dxa"/>
          </w:tcPr>
          <w:p>
            <w:pPr>
              <w:pStyle w:val="8"/>
              <w:pBdr>
                <w:top w:val="none" w:color="auto" w:sz="0" w:space="0"/>
                <w:left w:val="none" w:color="auto" w:sz="0" w:space="0"/>
                <w:bottom w:val="none" w:color="auto" w:sz="0" w:space="0"/>
                <w:right w:val="none" w:color="auto" w:sz="0" w:space="0"/>
              </w:pBdr>
              <w:spacing w:after="156" w:afterLines="50" w:line="560" w:lineRule="exact"/>
              <w:ind w:firstLine="480"/>
              <w:rPr>
                <w:rFonts w:ascii="Times New Roman" w:hAnsi="Times New Roman" w:eastAsia="黑体"/>
                <w:b w:val="0"/>
                <w:szCs w:val="24"/>
              </w:rPr>
            </w:pPr>
            <w:bookmarkStart w:id="55" w:name="_Toc71352114"/>
            <w:r>
              <w:rPr>
                <w:rFonts w:hint="eastAsia" w:ascii="CESI楷体-GB2312" w:hAnsi="CESI楷体-GB2312" w:eastAsia="CESI楷体-GB2312" w:cs="CESI楷体-GB2312"/>
                <w:b w:val="0"/>
                <w:bCs w:val="0"/>
                <w:i w:val="0"/>
                <w:iCs w:val="0"/>
                <w:color w:val="000000"/>
                <w:kern w:val="2"/>
                <w:sz w:val="28"/>
                <w:szCs w:val="28"/>
                <w:lang w:val="en-US" w:eastAsia="zh-CN" w:bidi="ar-SA"/>
              </w:rPr>
              <w:t xml:space="preserve"> 专栏</w:t>
            </w:r>
            <w:bookmarkStart w:id="56" w:name="_Toc20043"/>
            <w:r>
              <w:rPr>
                <w:rFonts w:hint="eastAsia" w:ascii="CESI楷体-GB2312" w:hAnsi="CESI楷体-GB2312" w:eastAsia="CESI楷体-GB2312" w:cs="CESI楷体-GB2312"/>
                <w:b w:val="0"/>
                <w:bCs w:val="0"/>
                <w:i w:val="0"/>
                <w:iCs w:val="0"/>
                <w:color w:val="000000"/>
                <w:kern w:val="2"/>
                <w:sz w:val="28"/>
                <w:szCs w:val="28"/>
                <w:lang w:val="en-US" w:eastAsia="zh-CN" w:bidi="ar-SA"/>
              </w:rPr>
              <w:t>1 金融产业招商重点领域</w:t>
            </w:r>
            <w:bookmarkEnd w:id="55"/>
            <w:bookmarkEnd w:id="5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4" w:type="dxa"/>
          </w:tcPr>
          <w:p>
            <w:pPr>
              <w:pageBreakBefore w:val="0"/>
              <w:widowControl/>
              <w:kinsoku/>
              <w:wordWrap/>
              <w:overflowPunct/>
              <w:topLinePunct w:val="0"/>
              <w:autoSpaceDE/>
              <w:autoSpaceDN/>
              <w:bidi w:val="0"/>
              <w:spacing w:line="560" w:lineRule="exact"/>
              <w:ind w:firstLine="560" w:firstLineChars="200"/>
              <w:textAlignment w:val="auto"/>
              <w:rPr>
                <w:rFonts w:hint="default" w:ascii="仿宋_GB2312" w:eastAsia="仿宋_GB2312" w:cs="Times New Roman" w:hAnsiTheme="minorHAnsi"/>
                <w:i w:val="0"/>
                <w:iCs w:val="0"/>
                <w:color w:val="000000"/>
                <w:kern w:val="0"/>
                <w:sz w:val="28"/>
                <w:szCs w:val="28"/>
                <w:lang w:val="en" w:eastAsia="zh-CN" w:bidi="ar"/>
              </w:rPr>
            </w:pPr>
            <w:r>
              <w:rPr>
                <w:rFonts w:hint="default" w:ascii="仿宋_GB2312" w:eastAsia="仿宋_GB2312" w:cs="Times New Roman" w:hAnsiTheme="minorHAnsi"/>
                <w:i w:val="0"/>
                <w:iCs w:val="0"/>
                <w:color w:val="000000"/>
                <w:kern w:val="0"/>
                <w:sz w:val="28"/>
                <w:szCs w:val="28"/>
                <w:lang w:val="en" w:eastAsia="zh-CN" w:bidi="ar"/>
              </w:rPr>
              <w:t>1.</w:t>
            </w:r>
            <w:r>
              <w:rPr>
                <w:rFonts w:hint="eastAsia" w:ascii="仿宋_GB2312" w:eastAsia="仿宋_GB2312" w:cs="Times New Roman" w:hAnsiTheme="minorHAnsi"/>
                <w:i w:val="0"/>
                <w:iCs w:val="0"/>
                <w:color w:val="000000"/>
                <w:kern w:val="0"/>
                <w:sz w:val="28"/>
                <w:szCs w:val="28"/>
                <w:lang w:val="en-US" w:eastAsia="zh-CN" w:bidi="ar"/>
              </w:rPr>
              <w:t>全国性银行、省外城商行一级、二级分行</w:t>
            </w:r>
            <w:r>
              <w:rPr>
                <w:rFonts w:hint="eastAsia" w:ascii="仿宋_GB2312" w:eastAsia="仿宋_GB2312" w:cs="Times New Roman"/>
                <w:i w:val="0"/>
                <w:iCs w:val="0"/>
                <w:color w:val="000000"/>
                <w:kern w:val="0"/>
                <w:sz w:val="28"/>
                <w:szCs w:val="28"/>
                <w:lang w:val="en-US" w:eastAsia="zh-CN" w:bidi="ar"/>
              </w:rPr>
              <w:t>，</w:t>
            </w:r>
            <w:r>
              <w:rPr>
                <w:rFonts w:hint="eastAsia" w:ascii="仿宋_GB2312" w:eastAsia="仿宋_GB2312" w:cs="Times New Roman" w:hAnsiTheme="minorHAnsi"/>
                <w:i w:val="0"/>
                <w:iCs w:val="0"/>
                <w:color w:val="000000"/>
                <w:kern w:val="0"/>
                <w:sz w:val="28"/>
                <w:szCs w:val="28"/>
                <w:lang w:val="en-US" w:eastAsia="zh-CN" w:bidi="ar"/>
              </w:rPr>
              <w:t>省内城商行一级分行</w:t>
            </w:r>
            <w:r>
              <w:rPr>
                <w:rFonts w:hint="default" w:ascii="仿宋_GB2312" w:eastAsia="仿宋_GB2312" w:cs="Times New Roman" w:hAnsiTheme="minorHAnsi"/>
                <w:i w:val="0"/>
                <w:iCs w:val="0"/>
                <w:color w:val="000000"/>
                <w:kern w:val="0"/>
                <w:sz w:val="28"/>
                <w:szCs w:val="28"/>
                <w:lang w:val="en" w:eastAsia="zh-CN" w:bidi="ar"/>
              </w:rPr>
              <w:t>;</w:t>
            </w:r>
          </w:p>
          <w:p>
            <w:pPr>
              <w:pageBreakBefore w:val="0"/>
              <w:widowControl/>
              <w:kinsoku/>
              <w:wordWrap/>
              <w:overflowPunct/>
              <w:topLinePunct w:val="0"/>
              <w:autoSpaceDE/>
              <w:autoSpaceDN/>
              <w:bidi w:val="0"/>
              <w:spacing w:line="560" w:lineRule="exact"/>
              <w:ind w:firstLine="560" w:firstLineChars="200"/>
              <w:textAlignment w:val="auto"/>
              <w:rPr>
                <w:rFonts w:hint="default" w:ascii="仿宋_GB2312" w:eastAsia="仿宋_GB2312" w:cs="Times New Roman" w:hAnsiTheme="minorHAnsi"/>
                <w:i w:val="0"/>
                <w:iCs w:val="0"/>
                <w:color w:val="000000"/>
                <w:kern w:val="0"/>
                <w:sz w:val="28"/>
                <w:szCs w:val="28"/>
                <w:lang w:val="en" w:eastAsia="zh-CN" w:bidi="ar"/>
              </w:rPr>
            </w:pPr>
            <w:r>
              <w:rPr>
                <w:rFonts w:hint="default" w:ascii="仿宋_GB2312" w:eastAsia="仿宋_GB2312" w:cs="Times New Roman" w:hAnsiTheme="minorHAnsi"/>
                <w:i w:val="0"/>
                <w:iCs w:val="0"/>
                <w:color w:val="000000"/>
                <w:kern w:val="0"/>
                <w:sz w:val="28"/>
                <w:szCs w:val="28"/>
                <w:lang w:val="en" w:eastAsia="zh-CN" w:bidi="ar"/>
              </w:rPr>
              <w:t>2</w:t>
            </w:r>
            <w:r>
              <w:rPr>
                <w:rFonts w:hint="eastAsia" w:ascii="仿宋_GB2312" w:eastAsia="仿宋_GB2312" w:cs="Times New Roman" w:hAnsiTheme="minorHAnsi"/>
                <w:i w:val="0"/>
                <w:iCs w:val="0"/>
                <w:color w:val="000000"/>
                <w:kern w:val="0"/>
                <w:sz w:val="28"/>
                <w:szCs w:val="28"/>
                <w:lang w:val="en-US" w:eastAsia="zh-CN" w:bidi="ar"/>
              </w:rPr>
              <w:t>.全国性保险公司、证券公司、资产管理公司、金融租赁公司、消费金融公司、公募基金管理公司等各类大型非银行金融机构一</w:t>
            </w:r>
            <w:r>
              <w:rPr>
                <w:rFonts w:hint="eastAsia" w:ascii="仿宋_GB2312" w:eastAsia="仿宋_GB2312" w:cs="Times New Roman"/>
                <w:i w:val="0"/>
                <w:iCs w:val="0"/>
                <w:color w:val="000000"/>
                <w:kern w:val="0"/>
                <w:sz w:val="28"/>
                <w:szCs w:val="28"/>
                <w:lang w:val="en-US" w:eastAsia="zh-CN" w:bidi="ar"/>
              </w:rPr>
              <w:t>、二</w:t>
            </w:r>
            <w:r>
              <w:rPr>
                <w:rFonts w:hint="eastAsia" w:ascii="仿宋_GB2312" w:eastAsia="仿宋_GB2312" w:cs="Times New Roman" w:hAnsiTheme="minorHAnsi"/>
                <w:i w:val="0"/>
                <w:iCs w:val="0"/>
                <w:color w:val="000000"/>
                <w:kern w:val="0"/>
                <w:sz w:val="28"/>
                <w:szCs w:val="28"/>
                <w:lang w:val="en-US" w:eastAsia="zh-CN" w:bidi="ar"/>
              </w:rPr>
              <w:t>级分公司或功能总部</w:t>
            </w:r>
            <w:r>
              <w:rPr>
                <w:rFonts w:hint="default" w:ascii="仿宋_GB2312" w:eastAsia="仿宋_GB2312" w:cs="Times New Roman" w:hAnsiTheme="minorHAnsi"/>
                <w:i w:val="0"/>
                <w:iCs w:val="0"/>
                <w:color w:val="000000"/>
                <w:kern w:val="0"/>
                <w:sz w:val="28"/>
                <w:szCs w:val="28"/>
                <w:lang w:val="en" w:eastAsia="zh-CN" w:bidi="ar"/>
              </w:rPr>
              <w:t>;</w:t>
            </w:r>
          </w:p>
          <w:p>
            <w:pPr>
              <w:pageBreakBefore w:val="0"/>
              <w:widowControl/>
              <w:kinsoku/>
              <w:wordWrap/>
              <w:overflowPunct/>
              <w:topLinePunct w:val="0"/>
              <w:autoSpaceDE/>
              <w:autoSpaceDN/>
              <w:bidi w:val="0"/>
              <w:spacing w:line="560" w:lineRule="exact"/>
              <w:ind w:firstLine="560" w:firstLineChars="200"/>
              <w:textAlignment w:val="auto"/>
              <w:rPr>
                <w:rFonts w:hint="eastAsia" w:ascii="仿宋_GB2312" w:eastAsia="仿宋_GB2312" w:cs="Times New Roman" w:hAnsiTheme="minorHAnsi"/>
                <w:i w:val="0"/>
                <w:iCs w:val="0"/>
                <w:color w:val="000000"/>
                <w:kern w:val="0"/>
                <w:sz w:val="28"/>
                <w:szCs w:val="28"/>
                <w:lang w:val="en-US" w:eastAsia="zh-CN" w:bidi="ar"/>
              </w:rPr>
            </w:pPr>
            <w:r>
              <w:rPr>
                <w:rFonts w:hint="default" w:ascii="仿宋_GB2312" w:eastAsia="仿宋_GB2312" w:cs="Times New Roman" w:hAnsiTheme="minorHAnsi"/>
                <w:i w:val="0"/>
                <w:iCs w:val="0"/>
                <w:color w:val="000000"/>
                <w:kern w:val="0"/>
                <w:sz w:val="28"/>
                <w:szCs w:val="28"/>
                <w:lang w:val="en" w:eastAsia="zh-CN" w:bidi="ar"/>
              </w:rPr>
              <w:t>3.</w:t>
            </w:r>
            <w:r>
              <w:rPr>
                <w:rFonts w:hint="eastAsia" w:ascii="仿宋_GB2312" w:eastAsia="仿宋_GB2312" w:cs="Times New Roman" w:hAnsiTheme="minorHAnsi"/>
                <w:i w:val="0"/>
                <w:iCs w:val="0"/>
                <w:color w:val="000000"/>
                <w:kern w:val="0"/>
                <w:sz w:val="28"/>
                <w:szCs w:val="28"/>
                <w:lang w:val="en-US" w:eastAsia="zh-CN" w:bidi="ar"/>
              </w:rPr>
              <w:t>各类合规高效金融服务平台；</w:t>
            </w:r>
          </w:p>
          <w:p>
            <w:pPr>
              <w:pageBreakBefore w:val="0"/>
              <w:widowControl/>
              <w:kinsoku/>
              <w:wordWrap/>
              <w:overflowPunct/>
              <w:topLinePunct w:val="0"/>
              <w:autoSpaceDE/>
              <w:autoSpaceDN/>
              <w:bidi w:val="0"/>
              <w:spacing w:line="560" w:lineRule="exact"/>
              <w:ind w:firstLine="560" w:firstLineChars="200"/>
              <w:textAlignment w:val="auto"/>
              <w:rPr>
                <w:rFonts w:hint="eastAsia" w:ascii="仿宋_GB2312" w:eastAsia="仿宋_GB2312" w:cs="Times New Roman" w:hAnsiTheme="minorHAnsi"/>
                <w:i w:val="0"/>
                <w:iCs w:val="0"/>
                <w:color w:val="000000"/>
                <w:kern w:val="0"/>
                <w:sz w:val="28"/>
                <w:szCs w:val="28"/>
                <w:lang w:val="en-US" w:eastAsia="zh-CN" w:bidi="ar"/>
              </w:rPr>
            </w:pPr>
            <w:r>
              <w:rPr>
                <w:rFonts w:hint="eastAsia" w:ascii="仿宋_GB2312" w:eastAsia="仿宋_GB2312" w:cs="Times New Roman"/>
                <w:i w:val="0"/>
                <w:iCs w:val="0"/>
                <w:color w:val="000000"/>
                <w:kern w:val="0"/>
                <w:sz w:val="28"/>
                <w:szCs w:val="28"/>
                <w:lang w:val="en-US" w:eastAsia="zh-CN" w:bidi="ar"/>
              </w:rPr>
              <w:t>4</w:t>
            </w:r>
            <w:r>
              <w:rPr>
                <w:rFonts w:hint="eastAsia" w:ascii="仿宋_GB2312" w:eastAsia="仿宋_GB2312" w:cs="Times New Roman" w:hAnsiTheme="minorHAnsi"/>
                <w:i w:val="0"/>
                <w:iCs w:val="0"/>
                <w:color w:val="000000"/>
                <w:kern w:val="0"/>
                <w:sz w:val="28"/>
                <w:szCs w:val="28"/>
                <w:lang w:val="en-US" w:eastAsia="zh-CN" w:bidi="ar"/>
              </w:rPr>
              <w:t>.资产评估机构和信用评级机构等金融服务中介机构；</w:t>
            </w:r>
          </w:p>
          <w:p>
            <w:pPr>
              <w:pageBreakBefore w:val="0"/>
              <w:widowControl/>
              <w:kinsoku/>
              <w:wordWrap/>
              <w:overflowPunct/>
              <w:topLinePunct w:val="0"/>
              <w:autoSpaceDE/>
              <w:autoSpaceDN/>
              <w:bidi w:val="0"/>
              <w:spacing w:line="560" w:lineRule="exact"/>
              <w:ind w:firstLine="560" w:firstLineChars="200"/>
              <w:textAlignment w:val="auto"/>
              <w:rPr>
                <w:rFonts w:hint="default" w:ascii="仿宋_GB2312" w:eastAsia="仿宋_GB2312" w:cs="Times New Roman" w:hAnsiTheme="minorHAnsi"/>
                <w:i w:val="0"/>
                <w:iCs w:val="0"/>
                <w:color w:val="000000"/>
                <w:kern w:val="0"/>
                <w:sz w:val="28"/>
                <w:szCs w:val="28"/>
                <w:lang w:val="en-US" w:eastAsia="zh-CN" w:bidi="ar"/>
              </w:rPr>
            </w:pPr>
            <w:r>
              <w:rPr>
                <w:rFonts w:hint="eastAsia" w:ascii="仿宋_GB2312" w:eastAsia="仿宋_GB2312" w:cs="Times New Roman"/>
                <w:i w:val="0"/>
                <w:iCs w:val="0"/>
                <w:color w:val="000000"/>
                <w:kern w:val="0"/>
                <w:sz w:val="28"/>
                <w:szCs w:val="28"/>
                <w:lang w:val="en-US" w:eastAsia="zh-CN" w:bidi="ar"/>
              </w:rPr>
              <w:t>5</w:t>
            </w:r>
            <w:r>
              <w:rPr>
                <w:rFonts w:hint="eastAsia" w:ascii="仿宋_GB2312" w:eastAsia="仿宋_GB2312" w:cs="Times New Roman" w:hAnsiTheme="minorHAnsi"/>
                <w:i w:val="0"/>
                <w:iCs w:val="0"/>
                <w:color w:val="000000"/>
                <w:kern w:val="0"/>
                <w:sz w:val="28"/>
                <w:szCs w:val="28"/>
                <w:lang w:val="en-US" w:eastAsia="zh-CN" w:bidi="ar"/>
              </w:rPr>
              <w:t>.股权投资机构。</w:t>
            </w:r>
          </w:p>
          <w:p>
            <w:pPr>
              <w:pStyle w:val="1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480" w:firstLineChars="200"/>
              <w:jc w:val="left"/>
              <w:rPr>
                <w:rFonts w:ascii="Times New Roman" w:hAnsi="Times New Roman"/>
                <w:sz w:val="24"/>
                <w:szCs w:val="24"/>
              </w:rPr>
            </w:pPr>
          </w:p>
        </w:tc>
      </w:tr>
    </w:tbl>
    <w:p>
      <w:pPr>
        <w:pageBreakBefore w:val="0"/>
        <w:kinsoku/>
        <w:wordWrap/>
        <w:overflowPunct/>
        <w:topLinePunct w:val="0"/>
        <w:autoSpaceDE/>
        <w:autoSpaceDN/>
        <w:bidi w:val="0"/>
        <w:adjustRightInd/>
        <w:snapToGrid/>
        <w:spacing w:line="600" w:lineRule="exact"/>
        <w:ind w:firstLine="643" w:firstLineChars="200"/>
        <w:textAlignment w:val="auto"/>
        <w:rPr>
          <w:rFonts w:ascii="仿宋" w:hAnsi="仿宋" w:eastAsia="仿宋" w:cs="CESI仿宋-GB2312"/>
          <w:sz w:val="32"/>
          <w:szCs w:val="32"/>
        </w:rPr>
      </w:pPr>
      <w:r>
        <w:rPr>
          <w:rFonts w:ascii="仿宋" w:hAnsi="仿宋" w:eastAsia="仿宋" w:cs="CESI仿宋-GB2312"/>
          <w:b/>
          <w:bCs/>
          <w:sz w:val="32"/>
          <w:szCs w:val="32"/>
        </w:rPr>
        <w:t>引导金融机构延伸服务半径。</w:t>
      </w:r>
      <w:r>
        <w:rPr>
          <w:rFonts w:ascii="仿宋" w:hAnsi="仿宋" w:eastAsia="仿宋" w:cs="CESI仿宋-GB2312"/>
          <w:sz w:val="32"/>
          <w:szCs w:val="32"/>
        </w:rPr>
        <w:t>健全金融机构体系，大力支持县域金融机构发展，指导和帮助在聊金融分支机构做好长远建设规划，加快向县区、街道（镇）下沉，运用金融科技，提升基层金融网点服务功能、服务半径和服务能力。鼓励银行机构设立县级支行、社区支行等。鼓励保险公司深化县域保险服务。鼓励证券机构根据民间资本丰盈程度来合理布局营业网点，</w:t>
      </w:r>
    </w:p>
    <w:p>
      <w:pPr>
        <w:pageBreakBefore w:val="0"/>
        <w:kinsoku/>
        <w:wordWrap/>
        <w:overflowPunct/>
        <w:topLinePunct w:val="0"/>
        <w:autoSpaceDE/>
        <w:autoSpaceDN/>
        <w:bidi w:val="0"/>
        <w:adjustRightInd/>
        <w:snapToGrid/>
        <w:spacing w:line="600" w:lineRule="exact"/>
        <w:ind w:firstLine="643" w:firstLineChars="200"/>
        <w:textAlignment w:val="auto"/>
        <w:rPr>
          <w:rFonts w:hint="default"/>
          <w:lang w:val="en-US" w:eastAsia="zh-CN"/>
        </w:rPr>
      </w:pPr>
      <w:r>
        <w:rPr>
          <w:rFonts w:hint="eastAsia" w:ascii="仿宋_GB2312" w:eastAsia="仿宋_GB2312" w:cs="Times New Roman" w:hAnsiTheme="minorHAnsi"/>
          <w:b/>
          <w:bCs/>
          <w:i w:val="0"/>
          <w:iCs w:val="0"/>
          <w:color w:val="000000"/>
          <w:kern w:val="2"/>
          <w:sz w:val="32"/>
          <w:szCs w:val="32"/>
          <w:lang w:val="en-US" w:eastAsia="zh-CN" w:bidi="ar-SA"/>
        </w:rPr>
        <w:t>推进地方金融组织健康发展。</w:t>
      </w:r>
      <w:r>
        <w:rPr>
          <w:rFonts w:hint="eastAsia" w:ascii="仿宋_GB2312" w:eastAsia="仿宋_GB2312" w:cs="Times New Roman" w:hAnsiTheme="minorHAnsi"/>
          <w:b w:val="0"/>
          <w:bCs w:val="0"/>
          <w:i w:val="0"/>
          <w:iCs w:val="0"/>
          <w:color w:val="000000"/>
          <w:kern w:val="2"/>
          <w:sz w:val="32"/>
          <w:szCs w:val="32"/>
          <w:lang w:val="en-US" w:eastAsia="zh-CN" w:bidi="ar-SA"/>
        </w:rPr>
        <w:t>积极鼓励引导符合条件的民间资本发起设立小额贷款公司、典当行等各类地方新型金融组织。推动一批业务经营状况良好、风险控制水平较高的地方新型金融组织立足本土，拓宽融资渠道、补充资本实力，通过细分市场、特色经营等措施，为小微、“三农”提供特色服务。按照市场化、法治化原则，逐步淘汰一批经营不合规、业务实质性停滞的地方金融组织。</w:t>
      </w:r>
    </w:p>
    <w:p>
      <w:pPr>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s="Times New Roman" w:hAnsiTheme="minorHAnsi"/>
          <w:b w:val="0"/>
          <w:bCs w:val="0"/>
          <w:i w:val="0"/>
          <w:iCs w:val="0"/>
          <w:color w:val="000000"/>
          <w:kern w:val="2"/>
          <w:sz w:val="32"/>
          <w:szCs w:val="32"/>
          <w:lang w:val="en-US" w:eastAsia="zh-CN" w:bidi="ar-SA"/>
        </w:rPr>
      </w:pPr>
      <w:r>
        <w:rPr>
          <w:rFonts w:hint="eastAsia" w:ascii="仿宋_GB2312" w:eastAsia="仿宋_GB2312" w:cs="Times New Roman" w:hAnsiTheme="minorHAnsi"/>
          <w:b/>
          <w:bCs/>
          <w:i w:val="0"/>
          <w:iCs w:val="0"/>
          <w:color w:val="000000"/>
          <w:kern w:val="2"/>
          <w:sz w:val="32"/>
          <w:szCs w:val="32"/>
          <w:lang w:val="en-US" w:eastAsia="zh-CN" w:bidi="ar-SA"/>
        </w:rPr>
        <w:t>完善国有金融资本管理。</w:t>
      </w:r>
      <w:r>
        <w:rPr>
          <w:rFonts w:hint="eastAsia" w:ascii="仿宋_GB2312" w:eastAsia="仿宋_GB2312" w:cs="Times New Roman" w:hAnsiTheme="minorHAnsi"/>
          <w:b w:val="0"/>
          <w:bCs w:val="0"/>
          <w:i w:val="0"/>
          <w:iCs w:val="0"/>
          <w:color w:val="000000"/>
          <w:kern w:val="2"/>
          <w:sz w:val="32"/>
          <w:szCs w:val="32"/>
          <w:lang w:val="en-US" w:eastAsia="zh-CN" w:bidi="ar-SA"/>
        </w:rPr>
        <w:t>优化国有资本战略布局，</w:t>
      </w:r>
      <w:r>
        <w:rPr>
          <w:rFonts w:hint="eastAsia" w:ascii="仿宋_GB2312" w:eastAsia="仿宋_GB2312" w:cs="Times New Roman"/>
          <w:b w:val="0"/>
          <w:bCs w:val="0"/>
          <w:i w:val="0"/>
          <w:iCs w:val="0"/>
          <w:color w:val="000000"/>
          <w:kern w:val="2"/>
          <w:sz w:val="32"/>
          <w:szCs w:val="32"/>
          <w:lang w:val="en-US" w:eastAsia="zh-CN" w:bidi="ar-SA"/>
        </w:rPr>
        <w:t>采用划转或置换等方式，有序</w:t>
      </w:r>
      <w:r>
        <w:rPr>
          <w:rFonts w:hint="eastAsia" w:ascii="仿宋_GB2312" w:eastAsia="仿宋_GB2312" w:cs="Times New Roman" w:hAnsiTheme="minorHAnsi"/>
          <w:b w:val="0"/>
          <w:bCs w:val="0"/>
          <w:i w:val="0"/>
          <w:iCs w:val="0"/>
          <w:color w:val="000000"/>
          <w:kern w:val="2"/>
          <w:sz w:val="32"/>
          <w:szCs w:val="32"/>
          <w:lang w:val="en-US" w:eastAsia="zh-CN" w:bidi="ar-SA"/>
        </w:rPr>
        <w:t>将各市属企业的金融和类金融股权转移至财信</w:t>
      </w:r>
      <w:r>
        <w:rPr>
          <w:rFonts w:hint="eastAsia" w:ascii="仿宋_GB2312" w:eastAsia="仿宋_GB2312" w:cs="Times New Roman"/>
          <w:b w:val="0"/>
          <w:bCs w:val="0"/>
          <w:i w:val="0"/>
          <w:iCs w:val="0"/>
          <w:color w:val="000000"/>
          <w:kern w:val="2"/>
          <w:sz w:val="32"/>
          <w:szCs w:val="32"/>
          <w:lang w:val="en-US" w:eastAsia="zh-CN" w:bidi="ar-SA"/>
        </w:rPr>
        <w:t>集团</w:t>
      </w:r>
      <w:r>
        <w:rPr>
          <w:rFonts w:hint="eastAsia" w:ascii="仿宋_GB2312" w:eastAsia="仿宋_GB2312" w:cs="Times New Roman" w:hAnsiTheme="minorHAnsi"/>
          <w:b w:val="0"/>
          <w:bCs w:val="0"/>
          <w:i w:val="0"/>
          <w:iCs w:val="0"/>
          <w:color w:val="000000"/>
          <w:kern w:val="2"/>
          <w:sz w:val="32"/>
          <w:szCs w:val="32"/>
          <w:lang w:val="en-US" w:eastAsia="zh-CN" w:bidi="ar-SA"/>
        </w:rPr>
        <w:t>，</w:t>
      </w:r>
      <w:r>
        <w:rPr>
          <w:rFonts w:hint="eastAsia" w:ascii="仿宋_GB2312" w:eastAsia="仿宋_GB2312" w:cs="Times New Roman"/>
          <w:b w:val="0"/>
          <w:bCs w:val="0"/>
          <w:i w:val="0"/>
          <w:iCs w:val="0"/>
          <w:color w:val="000000"/>
          <w:kern w:val="2"/>
          <w:sz w:val="32"/>
          <w:szCs w:val="32"/>
          <w:lang w:val="en-US" w:eastAsia="zh-CN" w:bidi="ar-SA"/>
        </w:rPr>
        <w:t>以财信金控为主体</w:t>
      </w:r>
      <w:r>
        <w:rPr>
          <w:rFonts w:hint="eastAsia" w:ascii="仿宋_GB2312" w:eastAsia="仿宋_GB2312" w:cs="Times New Roman" w:hAnsiTheme="minorHAnsi"/>
          <w:b w:val="0"/>
          <w:bCs w:val="0"/>
          <w:i w:val="0"/>
          <w:iCs w:val="0"/>
          <w:color w:val="000000"/>
          <w:kern w:val="2"/>
          <w:sz w:val="32"/>
          <w:szCs w:val="32"/>
          <w:lang w:val="en-US" w:eastAsia="zh-CN" w:bidi="ar-SA"/>
        </w:rPr>
        <w:t>成立证照齐全地方金融公司。</w:t>
      </w:r>
      <w:r>
        <w:rPr>
          <w:rFonts w:hint="eastAsia" w:ascii="仿宋_GB2312" w:eastAsia="仿宋_GB2312" w:cs="Times New Roman"/>
          <w:b w:val="0"/>
          <w:bCs w:val="0"/>
          <w:i w:val="0"/>
          <w:iCs w:val="0"/>
          <w:color w:val="000000"/>
          <w:kern w:val="2"/>
          <w:sz w:val="32"/>
          <w:szCs w:val="32"/>
          <w:lang w:val="en-US" w:eastAsia="zh-CN" w:bidi="ar-SA"/>
        </w:rPr>
        <w:t>指导市属企业加强与业内头部企业合资合作</w:t>
      </w:r>
      <w:r>
        <w:rPr>
          <w:rFonts w:hint="eastAsia" w:ascii="仿宋_GB2312" w:eastAsia="仿宋_GB2312" w:cs="Times New Roman" w:hAnsiTheme="minorHAnsi"/>
          <w:b w:val="0"/>
          <w:bCs w:val="0"/>
          <w:i w:val="0"/>
          <w:iCs w:val="0"/>
          <w:color w:val="000000"/>
          <w:kern w:val="2"/>
          <w:sz w:val="32"/>
          <w:szCs w:val="32"/>
          <w:lang w:val="en-US" w:eastAsia="zh-CN" w:bidi="ar-SA"/>
        </w:rPr>
        <w:t>，</w:t>
      </w:r>
      <w:r>
        <w:rPr>
          <w:rFonts w:hint="eastAsia" w:ascii="仿宋_GB2312" w:eastAsia="仿宋_GB2312" w:cs="Times New Roman"/>
          <w:b w:val="0"/>
          <w:bCs w:val="0"/>
          <w:i w:val="0"/>
          <w:iCs w:val="0"/>
          <w:color w:val="000000"/>
          <w:kern w:val="2"/>
          <w:sz w:val="32"/>
          <w:szCs w:val="32"/>
          <w:lang w:val="en-US" w:eastAsia="zh-CN" w:bidi="ar-SA"/>
        </w:rPr>
        <w:t>结合主责主业探索组建资产管理公司，供应链金融公司，区域大宗物资采购平台等新类型金融机构，择机参股地方农商行等地方法人银行机构</w:t>
      </w:r>
      <w:r>
        <w:rPr>
          <w:rFonts w:hint="eastAsia" w:ascii="仿宋_GB2312" w:eastAsia="仿宋_GB2312" w:cs="Times New Roman" w:hAnsiTheme="minorHAnsi"/>
          <w:b w:val="0"/>
          <w:bCs w:val="0"/>
          <w:i w:val="0"/>
          <w:iCs w:val="0"/>
          <w:color w:val="000000"/>
          <w:kern w:val="2"/>
          <w:sz w:val="32"/>
          <w:szCs w:val="32"/>
          <w:lang w:val="en-US" w:eastAsia="zh-CN" w:bidi="ar-SA"/>
        </w:rPr>
        <w:t>，构建“融、投、贷、保、服”一体化的全产业布局。</w:t>
      </w:r>
    </w:p>
    <w:p>
      <w:pPr>
        <w:rPr>
          <w:rFonts w:hint="eastAsia"/>
          <w:lang w:val="en-US" w:eastAsia="zh-CN"/>
        </w:rPr>
      </w:pPr>
    </w:p>
    <w:p>
      <w:pPr>
        <w:pStyle w:val="2"/>
        <w:rPr>
          <w:rFonts w:hint="eastAsia"/>
          <w:lang w:val="en-US" w:eastAsia="zh-CN"/>
        </w:rPr>
      </w:pPr>
    </w:p>
    <w:p>
      <w:pPr>
        <w:pStyle w:val="18"/>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firstLine="0" w:firstLineChars="0"/>
        <w:jc w:val="center"/>
        <w:rPr>
          <w:rFonts w:hint="eastAsia" w:ascii="CESI黑体-GB2312" w:hAnsi="CESI黑体-GB2312" w:eastAsia="CESI黑体-GB2312" w:cs="CESI黑体-GB2312"/>
          <w:b w:val="0"/>
          <w:bCs w:val="0"/>
          <w:i w:val="0"/>
          <w:iCs w:val="0"/>
          <w:color w:val="000000"/>
          <w:kern w:val="2"/>
          <w:sz w:val="32"/>
          <w:szCs w:val="32"/>
          <w:lang w:val="en-US" w:eastAsia="zh-CN" w:bidi="ar-SA"/>
        </w:rPr>
      </w:pPr>
      <w:r>
        <w:rPr>
          <w:rFonts w:hint="eastAsia" w:ascii="CESI黑体-GB2312" w:hAnsi="CESI黑体-GB2312" w:eastAsia="CESI黑体-GB2312" w:cs="CESI黑体-GB2312"/>
          <w:b w:val="0"/>
          <w:bCs w:val="0"/>
          <w:i w:val="0"/>
          <w:iCs w:val="0"/>
          <w:color w:val="000000"/>
          <w:kern w:val="2"/>
          <w:sz w:val="32"/>
          <w:szCs w:val="32"/>
          <w:lang w:val="en-US" w:eastAsia="zh-CN" w:bidi="ar-SA"/>
        </w:rPr>
        <w:t xml:space="preserve">  </w:t>
      </w:r>
      <w:bookmarkStart w:id="57" w:name="_Toc1367311564_WPSOffice_Level2"/>
      <w:r>
        <w:rPr>
          <w:rFonts w:hint="eastAsia" w:ascii="CESI黑体-GB2312" w:hAnsi="CESI黑体-GB2312" w:eastAsia="CESI黑体-GB2312" w:cs="CESI黑体-GB2312"/>
          <w:b w:val="0"/>
          <w:bCs w:val="0"/>
          <w:i w:val="0"/>
          <w:iCs w:val="0"/>
          <w:color w:val="000000"/>
          <w:kern w:val="2"/>
          <w:sz w:val="32"/>
          <w:szCs w:val="32"/>
          <w:lang w:val="en-US" w:eastAsia="zh-CN" w:bidi="ar-SA"/>
        </w:rPr>
        <w:t>塑强</w:t>
      </w:r>
      <w:r>
        <w:rPr>
          <w:rFonts w:hint="eastAsia" w:ascii="CESI黑体-GB2312" w:hAnsi="CESI黑体-GB2312" w:eastAsia="CESI黑体-GB2312" w:cs="CESI黑体-GB2312"/>
          <w:kern w:val="0"/>
          <w:sz w:val="32"/>
          <w:szCs w:val="32"/>
          <w:lang w:val="zh-CN"/>
        </w:rPr>
        <w:t>金融产业数字化能力</w:t>
      </w:r>
      <w:bookmarkEnd w:id="57"/>
    </w:p>
    <w:p>
      <w:pPr>
        <w:pStyle w:val="1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Chars="0" w:right="0" w:rightChars="0"/>
        <w:jc w:val="both"/>
        <w:textAlignment w:val="auto"/>
        <w:rPr>
          <w:rFonts w:hint="eastAsia" w:ascii="CESI黑体-GB2312" w:hAnsi="CESI黑体-GB2312" w:eastAsia="CESI黑体-GB2312" w:cs="CESI黑体-GB2312"/>
          <w:b w:val="0"/>
          <w:bCs w:val="0"/>
          <w:i w:val="0"/>
          <w:iCs w:val="0"/>
          <w:color w:val="000000"/>
          <w:kern w:val="2"/>
          <w:sz w:val="32"/>
          <w:szCs w:val="32"/>
          <w:lang w:val="en-US" w:eastAsia="zh-CN" w:bidi="ar-SA"/>
        </w:rPr>
      </w:pPr>
    </w:p>
    <w:p>
      <w:pPr>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CESI仿宋-GB2312"/>
          <w:kern w:val="0"/>
          <w:sz w:val="32"/>
          <w:szCs w:val="32"/>
          <w:lang w:val="zh-CN"/>
        </w:rPr>
      </w:pPr>
      <w:r>
        <w:rPr>
          <w:rFonts w:hint="eastAsia" w:ascii="CESI仿宋-GB2312" w:hAnsi="CESI仿宋-GB2312" w:eastAsia="CESI仿宋-GB2312" w:cs="CESI仿宋-GB2312"/>
          <w:sz w:val="32"/>
          <w:szCs w:val="32"/>
        </w:rPr>
        <w:t>加快金融机构数字化转型升级，</w:t>
      </w:r>
      <w:r>
        <w:rPr>
          <w:rFonts w:hint="eastAsia" w:ascii="仿宋" w:hAnsi="仿宋" w:eastAsia="仿宋" w:cs="CESI仿宋-GB2312"/>
          <w:kern w:val="0"/>
          <w:sz w:val="32"/>
          <w:szCs w:val="32"/>
          <w:lang w:val="zh-CN"/>
        </w:rPr>
        <w:t>增强金融的数字化服务质效，构建以客户、场景为中心的内接产品与服务、外连合作机构与企业的综合化、数字化的金融服务体系。</w:t>
      </w:r>
    </w:p>
    <w:p>
      <w:pPr>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CESI仿宋-GB2312"/>
          <w:kern w:val="0"/>
          <w:sz w:val="32"/>
          <w:szCs w:val="32"/>
          <w:lang w:val="zh-CN"/>
        </w:rPr>
      </w:pPr>
      <w:r>
        <w:rPr>
          <w:rFonts w:ascii="仿宋" w:hAnsi="仿宋" w:eastAsia="仿宋" w:cs="CESI仿宋-GB2312"/>
          <w:b/>
          <w:kern w:val="0"/>
          <w:sz w:val="32"/>
          <w:szCs w:val="32"/>
          <w:lang w:val="zh-CN"/>
        </w:rPr>
        <w:t>推动金融机构数字化转型。</w:t>
      </w:r>
      <w:r>
        <w:rPr>
          <w:rFonts w:hint="eastAsia" w:ascii="仿宋" w:hAnsi="仿宋" w:eastAsia="仿宋" w:cs="CESI仿宋-GB2312"/>
          <w:kern w:val="0"/>
          <w:sz w:val="32"/>
          <w:szCs w:val="32"/>
          <w:lang w:val="zh-CN"/>
        </w:rPr>
        <w:t>强化金融机构数字化运营思维，建立以数连接、由数驱动、用数重塑的“价值赋能”数字化认知，全面深化金融机构服务企业效能。</w:t>
      </w:r>
      <w:r>
        <w:rPr>
          <w:rFonts w:ascii="仿宋" w:hAnsi="仿宋" w:eastAsia="仿宋" w:cs="CESI仿宋-GB2312"/>
          <w:kern w:val="0"/>
          <w:sz w:val="32"/>
          <w:szCs w:val="32"/>
          <w:lang w:val="zh-CN"/>
        </w:rPr>
        <w:t>积极探索大数据、云计算、人工智能、区块链等科技手段在金融领域的转化应用，加强与科技公司在业务流程流化、金融产品研发创新、运营模式改进完善、风险模型重塑升级等方面的合作。支持金融机构设立专门的数字化运营部门，将聊城作为金融数字化应用场景地区，利用数字化手段创新金融服务，完善以产品为中心的金融设计研发体系，推广大数据营销、智能客服、智能风控、智能投研、智能理赔等智能化金融服务</w:t>
      </w:r>
      <w:r>
        <w:rPr>
          <w:rFonts w:hint="eastAsia" w:ascii="仿宋" w:hAnsi="仿宋" w:eastAsia="仿宋" w:cs="CESI仿宋-GB2312"/>
          <w:kern w:val="0"/>
          <w:sz w:val="32"/>
          <w:szCs w:val="32"/>
          <w:lang w:val="zh-CN"/>
        </w:rPr>
        <w:t>。</w:t>
      </w:r>
    </w:p>
    <w:p>
      <w:pPr>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ascii="仿宋" w:hAnsi="仿宋" w:eastAsia="仿宋" w:cs="CESI仿宋-GB2312"/>
          <w:b/>
          <w:kern w:val="0"/>
          <w:sz w:val="32"/>
          <w:szCs w:val="32"/>
          <w:lang w:val="zh-CN"/>
        </w:rPr>
      </w:pPr>
      <w:r>
        <w:rPr>
          <w:rFonts w:hint="eastAsia" w:ascii="仿宋" w:hAnsi="仿宋" w:eastAsia="仿宋" w:cs="CESI仿宋-GB2312"/>
          <w:b/>
          <w:bCs/>
          <w:kern w:val="0"/>
          <w:sz w:val="32"/>
          <w:szCs w:val="32"/>
          <w:lang w:val="zh-CN"/>
        </w:rPr>
        <w:t>优化数字金融生态环境。</w:t>
      </w:r>
      <w:r>
        <w:rPr>
          <w:rFonts w:hint="eastAsia" w:ascii="仿宋" w:hAnsi="仿宋" w:eastAsia="仿宋" w:cs="CESI仿宋-GB2312"/>
          <w:kern w:val="0"/>
          <w:sz w:val="32"/>
          <w:szCs w:val="32"/>
          <w:lang w:val="zh-CN"/>
        </w:rPr>
        <w:t>健全多方参与、协同共治的数字金融生态网络，激活数据要素潜能，推动数据安全有序共享。</w:t>
      </w:r>
      <w:r>
        <w:rPr>
          <w:rFonts w:ascii="仿宋" w:hAnsi="仿宋" w:eastAsia="仿宋" w:cs="CESI仿宋-GB2312"/>
          <w:kern w:val="0"/>
          <w:sz w:val="32"/>
          <w:szCs w:val="32"/>
          <w:lang w:val="zh-CN"/>
        </w:rPr>
        <w:t>探索在支付结算、授信贷款、征信、数字票据、供应链融资、证券投资、保险服务等多样化金融场景下的数字化解决方案，不断提升金融服务的质量和效益。</w:t>
      </w:r>
      <w:r>
        <w:rPr>
          <w:rFonts w:hint="eastAsia" w:ascii="仿宋" w:hAnsi="仿宋" w:eastAsia="仿宋" w:cs="CESI仿宋-GB2312"/>
          <w:kern w:val="0"/>
          <w:sz w:val="32"/>
          <w:szCs w:val="32"/>
          <w:lang w:val="zh-CN"/>
        </w:rPr>
        <w:t>扎实做好金融科技人才培养，建立健全校企联合培养、产学研联合育人模式，打造“金融+科技+法律”综合性人才梯队，加强职业操守教育，强化法律法规制度执行，护航金融科技行稳致远。</w:t>
      </w:r>
    </w:p>
    <w:p>
      <w:pPr>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default" w:ascii="仿宋_GB2312" w:eastAsia="仿宋_GB2312" w:cs="Times New Roman" w:hAnsiTheme="minorHAnsi"/>
          <w:b w:val="0"/>
          <w:bCs w:val="0"/>
          <w:i w:val="0"/>
          <w:iCs w:val="0"/>
          <w:color w:val="000000"/>
          <w:kern w:val="2"/>
          <w:sz w:val="32"/>
          <w:szCs w:val="32"/>
          <w:lang w:val="en-US" w:eastAsia="zh-CN" w:bidi="ar-SA"/>
        </w:rPr>
      </w:pPr>
      <w:r>
        <w:rPr>
          <w:rFonts w:ascii="仿宋" w:hAnsi="仿宋" w:eastAsia="仿宋" w:cs="CESI仿宋-GB2312"/>
          <w:b/>
          <w:kern w:val="0"/>
          <w:sz w:val="32"/>
          <w:szCs w:val="32"/>
        </w:rPr>
        <w:t>完善金融科技监管部门框架。</w:t>
      </w:r>
      <w:r>
        <w:rPr>
          <w:rFonts w:ascii="仿宋" w:hAnsi="仿宋" w:eastAsia="仿宋" w:cs="CESI仿宋-GB2312"/>
          <w:bCs/>
          <w:kern w:val="0"/>
          <w:sz w:val="32"/>
          <w:szCs w:val="32"/>
        </w:rPr>
        <w:t>支持金融管理部门、金融机构与科技企业合作，共同探索监管科技创新。运用前沿科技手段，优化完善覆盖金融机构和地方金融组织的风险监测预警系统，强化风险监测、非现场监管，打造数字化监管体系，提升跨行业、跨市场交叉性金融风险的甄别、防范、化解能力，形成更有效率、功能更加完备的监管系统。完善金融科技协同机制，系统构建基于大数据和云计算技术为核心的地方金融监管体系，实现全方位动态监管。</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default" w:ascii="仿宋_GB2312" w:eastAsia="仿宋_GB2312" w:cs="Times New Roman" w:hAnsiTheme="minorHAnsi"/>
          <w:b w:val="0"/>
          <w:bCs w:val="0"/>
          <w:i w:val="0"/>
          <w:iCs w:val="0"/>
          <w:color w:val="000000"/>
          <w:kern w:val="2"/>
          <w:sz w:val="32"/>
          <w:szCs w:val="32"/>
          <w:lang w:val="en-US" w:eastAsia="zh-CN" w:bidi="ar-SA"/>
        </w:rPr>
      </w:pPr>
    </w:p>
    <w:p>
      <w:pPr>
        <w:pStyle w:val="18"/>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firstLine="0" w:firstLineChars="0"/>
        <w:jc w:val="center"/>
        <w:rPr>
          <w:rFonts w:hint="eastAsia" w:ascii="CESI黑体-GB2312" w:hAnsi="CESI黑体-GB2312" w:eastAsia="CESI黑体-GB2312" w:cs="CESI黑体-GB2312"/>
          <w:b w:val="0"/>
          <w:bCs w:val="0"/>
          <w:i w:val="0"/>
          <w:iCs w:val="0"/>
          <w:color w:val="000000"/>
          <w:kern w:val="2"/>
          <w:sz w:val="32"/>
          <w:szCs w:val="32"/>
          <w:lang w:val="en-US" w:eastAsia="zh-CN" w:bidi="ar-SA"/>
        </w:rPr>
      </w:pPr>
      <w:r>
        <w:rPr>
          <w:rFonts w:hint="eastAsia" w:ascii="黑体" w:hAnsi="黑体" w:eastAsia="黑体" w:cs="黑体"/>
          <w:b w:val="0"/>
          <w:bCs w:val="0"/>
          <w:snapToGrid w:val="0"/>
          <w:kern w:val="0"/>
          <w:sz w:val="32"/>
          <w:szCs w:val="32"/>
          <w:lang w:val="en-US" w:eastAsia="zh-CN" w:bidi="ar-SA"/>
        </w:rPr>
        <w:t xml:space="preserve"> </w:t>
      </w:r>
      <w:bookmarkStart w:id="58" w:name="_Toc1312561593_WPSOffice_Level2"/>
      <w:r>
        <w:rPr>
          <w:rFonts w:hint="eastAsia" w:ascii="CESI黑体-GB2312" w:hAnsi="CESI黑体-GB2312" w:eastAsia="CESI黑体-GB2312" w:cs="CESI黑体-GB2312"/>
          <w:b w:val="0"/>
          <w:bCs w:val="0"/>
          <w:i w:val="0"/>
          <w:iCs w:val="0"/>
          <w:color w:val="000000"/>
          <w:kern w:val="2"/>
          <w:sz w:val="32"/>
          <w:szCs w:val="32"/>
          <w:lang w:val="en-US" w:eastAsia="zh-CN" w:bidi="ar-SA"/>
        </w:rPr>
        <w:t>塑强</w:t>
      </w:r>
      <w:r>
        <w:rPr>
          <w:rFonts w:hint="eastAsia" w:ascii="CESI黑体-GB2312" w:hAnsi="CESI黑体-GB2312" w:eastAsia="CESI黑体-GB2312" w:cs="CESI黑体-GB2312"/>
          <w:kern w:val="0"/>
          <w:sz w:val="32"/>
          <w:szCs w:val="32"/>
          <w:lang w:val="zh-CN"/>
        </w:rPr>
        <w:t>直接融资功能</w:t>
      </w:r>
      <w:bookmarkEnd w:id="58"/>
    </w:p>
    <w:p>
      <w:pPr>
        <w:pStyle w:val="1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rPr>
          <w:rFonts w:hint="eastAsia" w:ascii="黑体" w:hAnsi="黑体" w:eastAsia="黑体" w:cs="黑体"/>
          <w:b w:val="0"/>
          <w:bCs w:val="0"/>
          <w:snapToGrid w:val="0"/>
          <w:kern w:val="0"/>
          <w:sz w:val="32"/>
          <w:szCs w:val="32"/>
          <w:lang w:val="en-US" w:eastAsia="zh-CN" w:bidi="ar-SA"/>
        </w:rPr>
      </w:pPr>
    </w:p>
    <w:p>
      <w:pPr>
        <w:pStyle w:val="1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eastAsia="仿宋_GB2312" w:cs="Times New Roman" w:hAnsiTheme="minorHAnsi"/>
          <w:i w:val="0"/>
          <w:iCs w:val="0"/>
          <w:color w:val="000000"/>
          <w:kern w:val="0"/>
          <w:sz w:val="32"/>
          <w:szCs w:val="32"/>
          <w:lang w:val="en-US" w:eastAsia="zh-CN" w:bidi="ar"/>
        </w:rPr>
      </w:pPr>
      <w:r>
        <w:rPr>
          <w:rFonts w:hint="eastAsia" w:ascii="仿宋_GB2312" w:eastAsia="仿宋_GB2312" w:cs="Times New Roman" w:hAnsiTheme="minorHAnsi"/>
          <w:i w:val="0"/>
          <w:iCs w:val="0"/>
          <w:color w:val="000000"/>
          <w:kern w:val="0"/>
          <w:sz w:val="32"/>
          <w:szCs w:val="32"/>
          <w:lang w:val="en-US" w:eastAsia="zh-CN" w:bidi="ar"/>
        </w:rPr>
        <w:t>把握证券发行注册制及北交所设立改革机遇，通过资金全过程参与、政策全周期支持和服务全链条保障，引导培育更多优质企业对接资本市场，实现企业上市数量倍增、直接融资占比持续提升。</w:t>
      </w:r>
    </w:p>
    <w:p>
      <w:pPr>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eastAsia="仿宋_GB2312" w:cs="Times New Roman" w:hAnsiTheme="minorHAnsi"/>
          <w:i w:val="0"/>
          <w:iCs w:val="0"/>
          <w:color w:val="000000"/>
          <w:kern w:val="0"/>
          <w:sz w:val="32"/>
          <w:szCs w:val="32"/>
          <w:lang w:val="en-US" w:eastAsia="zh-CN" w:bidi="ar"/>
        </w:rPr>
      </w:pPr>
      <w:r>
        <w:rPr>
          <w:rFonts w:hint="eastAsia" w:ascii="仿宋_GB2312" w:eastAsia="仿宋_GB2312" w:cs="Times New Roman" w:hAnsiTheme="minorHAnsi"/>
          <w:b/>
          <w:bCs/>
          <w:i w:val="0"/>
          <w:iCs w:val="0"/>
          <w:color w:val="000000"/>
          <w:kern w:val="0"/>
          <w:sz w:val="32"/>
          <w:szCs w:val="32"/>
          <w:lang w:val="en-US" w:eastAsia="zh-CN" w:bidi="ar"/>
        </w:rPr>
        <w:t>实施上市公司倍增计划。</w:t>
      </w:r>
      <w:r>
        <w:rPr>
          <w:rFonts w:hint="eastAsia" w:ascii="仿宋_GB2312" w:eastAsia="仿宋_GB2312" w:cs="Times New Roman" w:hAnsiTheme="minorHAnsi"/>
          <w:i w:val="0"/>
          <w:iCs w:val="0"/>
          <w:color w:val="000000"/>
          <w:kern w:val="0"/>
          <w:sz w:val="32"/>
          <w:szCs w:val="32"/>
          <w:lang w:val="en-US" w:eastAsia="zh-CN" w:bidi="ar"/>
        </w:rPr>
        <w:t>坚持境内外场内场外并重，引导优秀企业合理选择发行地点，科学规划上市挂牌路径。加强上市后备企业的培育，动态调整全市挂牌后备企业资源库，根据企业上市板块意向、</w:t>
      </w:r>
      <w:r>
        <w:rPr>
          <w:rFonts w:hint="eastAsia" w:ascii="仿宋_GB2312" w:eastAsia="仿宋_GB2312" w:cs="Times New Roman"/>
          <w:i w:val="0"/>
          <w:iCs w:val="0"/>
          <w:color w:val="000000"/>
          <w:kern w:val="0"/>
          <w:sz w:val="32"/>
          <w:szCs w:val="32"/>
          <w:lang w:val="en-US" w:eastAsia="zh-CN" w:bidi="ar"/>
        </w:rPr>
        <w:t>阶段</w:t>
      </w:r>
      <w:r>
        <w:rPr>
          <w:rFonts w:hint="eastAsia" w:ascii="仿宋_GB2312" w:eastAsia="仿宋_GB2312" w:cs="Times New Roman" w:hAnsiTheme="minorHAnsi"/>
          <w:i w:val="0"/>
          <w:iCs w:val="0"/>
          <w:color w:val="000000"/>
          <w:kern w:val="0"/>
          <w:sz w:val="32"/>
          <w:szCs w:val="32"/>
          <w:lang w:val="en-US" w:eastAsia="zh-CN" w:bidi="ar"/>
        </w:rPr>
        <w:t>提供分层级精准培</w:t>
      </w:r>
      <w:r>
        <w:rPr>
          <w:rFonts w:hint="eastAsia" w:ascii="仿宋_GB2312" w:eastAsia="仿宋_GB2312" w:cs="Times New Roman"/>
          <w:i w:val="0"/>
          <w:iCs w:val="0"/>
          <w:color w:val="000000"/>
          <w:kern w:val="0"/>
          <w:sz w:val="32"/>
          <w:szCs w:val="32"/>
          <w:lang w:val="en-US" w:eastAsia="zh-CN" w:bidi="ar"/>
        </w:rPr>
        <w:t>育</w:t>
      </w:r>
      <w:r>
        <w:rPr>
          <w:rFonts w:hint="eastAsia" w:ascii="仿宋_GB2312" w:eastAsia="仿宋_GB2312" w:cs="Times New Roman" w:hAnsiTheme="minorHAnsi"/>
          <w:i w:val="0"/>
          <w:iCs w:val="0"/>
          <w:color w:val="000000"/>
          <w:kern w:val="0"/>
          <w:sz w:val="32"/>
          <w:szCs w:val="32"/>
          <w:lang w:val="en-US" w:eastAsia="zh-CN" w:bidi="ar"/>
        </w:rPr>
        <w:t>，建立涵盖市、县两级科技、产业、金融等领域的专家顾问团队</w:t>
      </w:r>
      <w:r>
        <w:rPr>
          <w:rFonts w:hint="eastAsia" w:ascii="仿宋_GB2312" w:eastAsia="仿宋_GB2312" w:cs="Times New Roman"/>
          <w:i w:val="0"/>
          <w:iCs w:val="0"/>
          <w:color w:val="000000"/>
          <w:kern w:val="0"/>
          <w:sz w:val="32"/>
          <w:szCs w:val="32"/>
          <w:lang w:val="en-US" w:eastAsia="zh-CN" w:bidi="ar"/>
        </w:rPr>
        <w:t>。</w:t>
      </w:r>
      <w:r>
        <w:rPr>
          <w:rFonts w:hint="eastAsia" w:ascii="仿宋_GB2312" w:eastAsia="仿宋_GB2312" w:cs="Times New Roman" w:hAnsiTheme="minorHAnsi"/>
          <w:i w:val="0"/>
          <w:iCs w:val="0"/>
          <w:color w:val="000000"/>
          <w:kern w:val="0"/>
          <w:sz w:val="32"/>
          <w:szCs w:val="32"/>
          <w:lang w:val="en-US" w:eastAsia="zh-CN" w:bidi="ar"/>
        </w:rPr>
        <w:t>探索建立中介机构执业档案机制和声誉约束机制，</w:t>
      </w:r>
      <w:r>
        <w:rPr>
          <w:rFonts w:hint="eastAsia" w:ascii="仿宋_GB2312" w:eastAsia="仿宋_GB2312" w:cs="Times New Roman"/>
          <w:i w:val="0"/>
          <w:iCs w:val="0"/>
          <w:color w:val="000000"/>
          <w:kern w:val="0"/>
          <w:sz w:val="32"/>
          <w:szCs w:val="32"/>
          <w:lang w:val="en-US" w:eastAsia="zh-CN" w:bidi="ar"/>
        </w:rPr>
        <w:t>有效提升上市服务质效</w:t>
      </w:r>
      <w:r>
        <w:rPr>
          <w:rFonts w:hint="eastAsia" w:ascii="仿宋_GB2312" w:eastAsia="仿宋_GB2312" w:cs="Times New Roman" w:hAnsiTheme="minorHAnsi"/>
          <w:i w:val="0"/>
          <w:iCs w:val="0"/>
          <w:color w:val="000000"/>
          <w:kern w:val="0"/>
          <w:sz w:val="32"/>
          <w:szCs w:val="32"/>
          <w:lang w:val="en-US" w:eastAsia="zh-CN" w:bidi="ar"/>
        </w:rPr>
        <w:t>。加快推进企业规范化改制，支持暂未达到公开发行上市标准的创业型、成长型中小微企业在齐鲁股权交易中心挂牌、转让、融资，熟悉资本市场规则，完善公司治理后转板上市。</w:t>
      </w:r>
    </w:p>
    <w:p>
      <w:pPr>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eastAsia="仿宋_GB2312" w:cs="Times New Roman" w:hAnsiTheme="minorHAnsi"/>
          <w:i w:val="0"/>
          <w:iCs w:val="0"/>
          <w:color w:val="000000"/>
          <w:kern w:val="0"/>
          <w:sz w:val="32"/>
          <w:szCs w:val="32"/>
          <w:lang w:val="en-US" w:eastAsia="zh-CN" w:bidi="ar"/>
        </w:rPr>
      </w:pPr>
      <w:r>
        <w:rPr>
          <w:rFonts w:hint="eastAsia" w:ascii="仿宋_GB2312" w:eastAsia="仿宋_GB2312" w:cs="Times New Roman" w:hAnsiTheme="minorHAnsi"/>
          <w:b/>
          <w:bCs/>
          <w:i w:val="0"/>
          <w:iCs w:val="0"/>
          <w:color w:val="000000"/>
          <w:kern w:val="0"/>
          <w:sz w:val="32"/>
          <w:szCs w:val="32"/>
          <w:lang w:val="en-US" w:eastAsia="zh-CN" w:bidi="ar"/>
        </w:rPr>
        <w:t>积极发行债券融资。</w:t>
      </w:r>
      <w:r>
        <w:rPr>
          <w:rFonts w:hint="eastAsia" w:ascii="仿宋_GB2312" w:eastAsia="仿宋_GB2312" w:cs="Times New Roman" w:hAnsiTheme="minorHAnsi"/>
          <w:i w:val="0"/>
          <w:iCs w:val="0"/>
          <w:color w:val="000000"/>
          <w:kern w:val="0"/>
          <w:sz w:val="32"/>
          <w:szCs w:val="32"/>
          <w:lang w:val="en-US" w:eastAsia="zh-CN" w:bidi="ar"/>
        </w:rPr>
        <w:t>建立企业发行债券档案信息库，建立债券融资银企常态化对接机制。积极推动重点企业综合运用短期融资券、中期票据等债券工具融资，中小型企业发行中小企业集合票据、中小企业集合债券、超短期融资券等。探索发展债券信用保险。</w:t>
      </w:r>
    </w:p>
    <w:p>
      <w:pPr>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eastAsia="仿宋_GB2312" w:cs="Times New Roman" w:hAnsiTheme="minorHAnsi"/>
          <w:i w:val="0"/>
          <w:iCs w:val="0"/>
          <w:color w:val="000000"/>
          <w:kern w:val="0"/>
          <w:sz w:val="32"/>
          <w:szCs w:val="32"/>
          <w:lang w:val="en-US" w:eastAsia="zh-CN" w:bidi="ar"/>
        </w:rPr>
      </w:pPr>
      <w:r>
        <w:rPr>
          <w:rFonts w:hint="eastAsia" w:ascii="仿宋_GB2312" w:eastAsia="仿宋_GB2312" w:cs="Times New Roman" w:hAnsiTheme="minorHAnsi"/>
          <w:b/>
          <w:bCs/>
          <w:i w:val="0"/>
          <w:iCs w:val="0"/>
          <w:color w:val="000000"/>
          <w:kern w:val="0"/>
          <w:sz w:val="32"/>
          <w:szCs w:val="32"/>
          <w:lang w:val="zh-CN" w:eastAsia="zh-CN" w:bidi="ar"/>
        </w:rPr>
        <w:t>促进股权投资机构扩面增量。</w:t>
      </w:r>
      <w:r>
        <w:rPr>
          <w:rFonts w:hint="eastAsia" w:ascii="仿宋_GB2312" w:eastAsia="仿宋_GB2312" w:cs="Times New Roman" w:hAnsiTheme="minorHAnsi"/>
          <w:i w:val="0"/>
          <w:iCs w:val="0"/>
          <w:color w:val="000000"/>
          <w:kern w:val="0"/>
          <w:sz w:val="32"/>
          <w:szCs w:val="32"/>
          <w:lang w:val="en-US" w:eastAsia="zh-CN" w:bidi="ar"/>
        </w:rPr>
        <w:t>以私募基金相关法规政策为指引，</w:t>
      </w:r>
      <w:r>
        <w:rPr>
          <w:rFonts w:hint="eastAsia" w:ascii="仿宋_GB2312" w:eastAsia="仿宋_GB2312" w:cs="Times New Roman" w:hAnsiTheme="minorHAnsi"/>
          <w:i w:val="0"/>
          <w:iCs w:val="0"/>
          <w:color w:val="000000"/>
          <w:kern w:val="0"/>
          <w:sz w:val="32"/>
          <w:szCs w:val="32"/>
          <w:lang w:val="zh-CN" w:eastAsia="zh-CN" w:bidi="ar"/>
        </w:rPr>
        <w:t>支持市域外资本在我市设立股权投资机构，鼓励我市各类股权投资机构引入市域外资本，对新引入的市域外合格投资者按</w:t>
      </w:r>
      <w:r>
        <w:rPr>
          <w:rFonts w:hint="eastAsia" w:ascii="仿宋_GB2312" w:eastAsia="仿宋_GB2312" w:cs="Times New Roman" w:hAnsiTheme="minorHAnsi"/>
          <w:i w:val="0"/>
          <w:iCs w:val="0"/>
          <w:color w:val="000000"/>
          <w:kern w:val="0"/>
          <w:sz w:val="32"/>
          <w:szCs w:val="32"/>
          <w:lang w:val="en-US" w:eastAsia="zh-CN" w:bidi="ar"/>
        </w:rPr>
        <w:t>规定</w:t>
      </w:r>
      <w:r>
        <w:rPr>
          <w:rFonts w:hint="eastAsia" w:ascii="仿宋_GB2312" w:eastAsia="仿宋_GB2312" w:cs="Times New Roman" w:hAnsiTheme="minorHAnsi"/>
          <w:i w:val="0"/>
          <w:iCs w:val="0"/>
          <w:color w:val="000000"/>
          <w:kern w:val="0"/>
          <w:sz w:val="32"/>
          <w:szCs w:val="32"/>
          <w:lang w:val="zh-CN" w:eastAsia="zh-CN" w:bidi="ar"/>
        </w:rPr>
        <w:t>标准和要求进行补助，</w:t>
      </w:r>
      <w:r>
        <w:rPr>
          <w:rFonts w:hint="eastAsia" w:ascii="仿宋_GB2312" w:eastAsia="仿宋_GB2312" w:cs="Times New Roman" w:hAnsiTheme="minorHAnsi"/>
          <w:i w:val="0"/>
          <w:iCs w:val="0"/>
          <w:color w:val="000000"/>
          <w:kern w:val="0"/>
          <w:sz w:val="32"/>
          <w:szCs w:val="32"/>
          <w:lang w:val="en-US" w:eastAsia="zh-CN" w:bidi="ar"/>
        </w:rPr>
        <w:t>推进股权投资行业发展。发挥市新旧动能转换基金的作用，全方位加强与各类基金合作，加大对我市改制、拟上市企业的股权投资力度。鼓励本地股权投资机构采用“跟投、领投”的方式参与我市企业投资。</w:t>
      </w:r>
    </w:p>
    <w:p>
      <w:pPr>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eastAsia="仿宋_GB2312" w:cs="Times New Roman" w:hAnsiTheme="minorHAnsi"/>
          <w:i w:val="0"/>
          <w:iCs w:val="0"/>
          <w:color w:val="000000"/>
          <w:kern w:val="0"/>
          <w:sz w:val="32"/>
          <w:szCs w:val="32"/>
          <w:lang w:val="en-US" w:eastAsia="zh-CN" w:bidi="ar"/>
        </w:rPr>
      </w:pPr>
      <w:r>
        <w:rPr>
          <w:rFonts w:hint="eastAsia" w:ascii="仿宋_GB2312" w:eastAsia="仿宋_GB2312" w:cs="Times New Roman" w:hAnsiTheme="minorHAnsi"/>
          <w:b/>
          <w:bCs/>
          <w:i w:val="0"/>
          <w:iCs w:val="0"/>
          <w:color w:val="000000"/>
          <w:kern w:val="0"/>
          <w:sz w:val="32"/>
          <w:szCs w:val="32"/>
          <w:lang w:val="en-US" w:eastAsia="zh-CN" w:bidi="ar"/>
        </w:rPr>
        <w:t>强化政策引导与激励。</w:t>
      </w:r>
      <w:r>
        <w:rPr>
          <w:rFonts w:hint="eastAsia" w:ascii="仿宋_GB2312" w:eastAsia="仿宋_GB2312" w:cs="Times New Roman" w:hAnsiTheme="minorHAnsi"/>
          <w:i w:val="0"/>
          <w:iCs w:val="0"/>
          <w:color w:val="000000"/>
          <w:kern w:val="0"/>
          <w:sz w:val="32"/>
          <w:szCs w:val="32"/>
          <w:lang w:val="en-US" w:eastAsia="zh-CN" w:bidi="ar"/>
        </w:rPr>
        <w:t>落实财政奖补政策，对企业对境内外首发上市公司，市财政按照首发融资额度分档分阶段予以补助。同一公司在沪深A股和香港H股均上市并融资的，可以分别享受境内外上市的政策。支持企业多途径上市，对通过借壳、买壳、吸收合并等资产重组形式实现境内上市并将注册地和税收户管地迁至我市的公司，发行企业债券、银行间债务融资工具等的企业，给予适当财政补助。探索设立拟上市挂牌企业破圈断链基金，加快推进优质拟上市企业解决担保圈、担保链问题。健全部门会商机制，对企业在城乡规划、土地房产确权、项目立项、资源环境影响评价、税费缴纳、股权确认、证照补办和行政许可衔接等方面存在的历史遗留问题，以及改制上市前三年生产经营活动中存在的需要规范的问题，协助企业妥善处理。</w:t>
      </w:r>
    </w:p>
    <w:p>
      <w:pPr>
        <w:pageBreakBefore w:val="0"/>
        <w:widowControl/>
        <w:numPr>
          <w:ilvl w:val="0"/>
          <w:numId w:val="0"/>
        </w:numPr>
        <w:kinsoku/>
        <w:wordWrap/>
        <w:overflowPunct/>
        <w:topLinePunct w:val="0"/>
        <w:autoSpaceDE/>
        <w:autoSpaceDN/>
        <w:bidi w:val="0"/>
        <w:adjustRightInd/>
        <w:snapToGrid/>
        <w:spacing w:line="600" w:lineRule="exact"/>
        <w:ind w:leftChars="0"/>
        <w:jc w:val="center"/>
        <w:textAlignment w:val="auto"/>
        <w:rPr>
          <w:rFonts w:hint="eastAsia" w:ascii="黑体" w:hAnsi="黑体" w:eastAsia="黑体" w:cs="黑体"/>
          <w:b w:val="0"/>
          <w:bCs w:val="0"/>
          <w:snapToGrid w:val="0"/>
          <w:kern w:val="0"/>
          <w:sz w:val="32"/>
          <w:szCs w:val="32"/>
          <w:lang w:val="en-US" w:eastAsia="zh-CN" w:bidi="ar-SA"/>
        </w:rPr>
      </w:pPr>
    </w:p>
    <w:p>
      <w:pPr>
        <w:pageBreakBefore w:val="0"/>
        <w:widowControl/>
        <w:numPr>
          <w:ilvl w:val="0"/>
          <w:numId w:val="0"/>
        </w:numPr>
        <w:kinsoku/>
        <w:wordWrap/>
        <w:overflowPunct/>
        <w:topLinePunct w:val="0"/>
        <w:autoSpaceDE/>
        <w:autoSpaceDN/>
        <w:bidi w:val="0"/>
        <w:adjustRightInd/>
        <w:snapToGrid/>
        <w:spacing w:line="600" w:lineRule="exact"/>
        <w:ind w:leftChars="0"/>
        <w:jc w:val="center"/>
        <w:textAlignment w:val="auto"/>
        <w:rPr>
          <w:rFonts w:hint="eastAsia"/>
          <w:lang w:val="en-US" w:eastAsia="zh-CN"/>
        </w:rPr>
      </w:pPr>
      <w:bookmarkStart w:id="59" w:name="_Toc655425461_WPSOffice_Level2"/>
      <w:r>
        <w:rPr>
          <w:rFonts w:hint="eastAsia" w:ascii="黑体" w:hAnsi="黑体" w:eastAsia="黑体" w:cs="黑体"/>
          <w:b w:val="0"/>
          <w:bCs w:val="0"/>
          <w:snapToGrid w:val="0"/>
          <w:kern w:val="0"/>
          <w:sz w:val="32"/>
          <w:szCs w:val="32"/>
          <w:lang w:val="en-US" w:eastAsia="zh-CN" w:bidi="ar-SA"/>
        </w:rPr>
        <w:t>第四节  塑强地方</w:t>
      </w:r>
      <w:r>
        <w:rPr>
          <w:rFonts w:hint="eastAsia" w:ascii="CESI黑体-GB2312" w:hAnsi="CESI黑体-GB2312" w:eastAsia="CESI黑体-GB2312" w:cs="CESI黑体-GB2312"/>
          <w:b w:val="0"/>
          <w:bCs w:val="0"/>
          <w:sz w:val="32"/>
          <w:szCs w:val="32"/>
        </w:rPr>
        <w:t>金融</w:t>
      </w:r>
      <w:r>
        <w:rPr>
          <w:rFonts w:hint="eastAsia" w:ascii="CESI黑体-GB2312" w:hAnsi="CESI黑体-GB2312" w:eastAsia="CESI黑体-GB2312" w:cs="CESI黑体-GB2312"/>
          <w:b w:val="0"/>
          <w:bCs w:val="0"/>
          <w:sz w:val="32"/>
          <w:szCs w:val="32"/>
          <w:lang w:eastAsia="zh-CN"/>
        </w:rPr>
        <w:t>改革品牌</w:t>
      </w:r>
      <w:bookmarkEnd w:id="59"/>
    </w:p>
    <w:p>
      <w:pPr>
        <w:pStyle w:val="5"/>
        <w:rPr>
          <w:rFonts w:hint="eastAsia"/>
          <w:lang w:val="en-US" w:eastAsia="zh-CN"/>
        </w:rPr>
      </w:pPr>
    </w:p>
    <w:p>
      <w:pPr>
        <w:pageBreakBefore w:val="0"/>
        <w:widowControl/>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val="0"/>
          <w:bCs w:val="0"/>
          <w:i w:val="0"/>
          <w:iCs w:val="0"/>
          <w:color w:val="000000"/>
          <w:sz w:val="32"/>
          <w:szCs w:val="32"/>
          <w:lang w:val="en-US" w:eastAsia="zh-CN"/>
        </w:rPr>
        <w:t>按照市级层面系统集成、县级层面多点突破的改革工作思路，围绕聊城区域特点和产业规划，开展系列金融改革创新，鼓励县域“试方式”“试路径”，探索区域金融服务和模式创新，打造N条金融发展的特色带形成一体化、特色化的金融发展格局。</w:t>
      </w:r>
    </w:p>
    <w:p>
      <w:pPr>
        <w:pageBreakBefore w:val="0"/>
        <w:widowControl/>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打造区域金融创新特色带。</w:t>
      </w:r>
      <w:r>
        <w:rPr>
          <w:rFonts w:hint="eastAsia" w:ascii="仿宋_GB2312" w:eastAsia="仿宋_GB2312" w:cs="Times New Roman"/>
          <w:b w:val="0"/>
          <w:bCs w:val="0"/>
          <w:i w:val="0"/>
          <w:iCs w:val="0"/>
          <w:color w:val="000000"/>
          <w:sz w:val="32"/>
          <w:szCs w:val="32"/>
          <w:lang w:val="en-US" w:eastAsia="zh-CN"/>
        </w:rPr>
        <w:t>支持东昌府区依托现有基金培育基础，大力发展产业投资基金，搭建金融资本和高科技企业合作共赢新平台。支持冠县聚焦制造业产业升级，加快推进绿色金融领域的改革创新，着力破除产业发展与污染防治之间的矛盾。支持茌平依托信发等重点领域龙头企业，以产业链上下游的中小企业为重点，大力发展铝电、化工产业链金融。支持莘县依托农业优势，创新乡村特色金融产品，优化金融产品供给结构，全面满足“三农”客户差异化、个性化融资需求。支持阳谷县、临清市紧抓“大运河”文化带机遇，创新文旅金融产品，统筹推进文化保护传承和区域高质量发展。支持高唐县深入挖掘“书画+锦鲤”特色文化资源，引导金融赋能文旅产业发展，打造中国·高唐书画文创康养产业园、中国锦鲤文旅小镇。支持度假区推进“金融+文旅”跨界合作，探索文旅债券、文旅基金等文旅金融产品，助力文旅企业“乘风破浪”。支持东阿县围绕打造黄河康养旅游度假区，强化政策、产品支撑，为康养项目、产业发展提供专项金融服务。支持开发区围绕小微园区企业创新金融服务，打造“金融+科技+园区+政府”多位一体的园区金融服务模式。支持高新区以聊城市产业研究院和山东科技金融服务中心聊城中心项目等为载体，探索科技型企业综合服务模式，推动金融、科技深度融合。</w:t>
      </w:r>
    </w:p>
    <w:tbl>
      <w:tblPr>
        <w:tblStyle w:val="20"/>
        <w:tblW w:w="8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8600" w:type="dxa"/>
            <w:noWrap w:val="0"/>
            <w:vAlign w:val="top"/>
          </w:tcPr>
          <w:p>
            <w:pPr>
              <w:keepNext/>
              <w:keepLines/>
              <w:pageBreakBefore w:val="0"/>
              <w:widowControl w:val="0"/>
              <w:numPr>
                <w:ilvl w:val="0"/>
                <w:numId w:val="0"/>
              </w:numPr>
              <w:kinsoku/>
              <w:wordWrap/>
              <w:overflowPunct/>
              <w:topLinePunct w:val="0"/>
              <w:autoSpaceDE/>
              <w:autoSpaceDN/>
              <w:bidi w:val="0"/>
              <w:adjustRightInd/>
              <w:snapToGrid/>
              <w:spacing w:before="0" w:after="0" w:line="520" w:lineRule="exact"/>
              <w:ind w:firstLine="560" w:firstLineChars="200"/>
              <w:jc w:val="center"/>
              <w:textAlignment w:val="auto"/>
              <w:outlineLvl w:val="0"/>
              <w:rPr>
                <w:rFonts w:hint="eastAsia" w:ascii="仿宋_GB2312" w:hAnsi="Calibri" w:eastAsia="仿宋_GB2312" w:cs="Times New Roman"/>
                <w:b w:val="0"/>
                <w:bCs w:val="0"/>
                <w:i w:val="0"/>
                <w:iCs w:val="0"/>
                <w:color w:val="000000"/>
                <w:kern w:val="0"/>
                <w:sz w:val="28"/>
                <w:szCs w:val="28"/>
                <w:vertAlign w:val="baseline"/>
                <w:lang w:val="en-US" w:eastAsia="zh-CN" w:bidi="ar"/>
              </w:rPr>
            </w:pPr>
            <w:r>
              <w:rPr>
                <w:rFonts w:hint="eastAsia" w:ascii="CESI楷体-GB2312" w:hAnsi="CESI楷体-GB2312" w:eastAsia="CESI楷体-GB2312" w:cs="CESI楷体-GB2312"/>
                <w:b w:val="0"/>
                <w:bCs w:val="0"/>
                <w:i w:val="0"/>
                <w:iCs w:val="0"/>
                <w:color w:val="000000"/>
                <w:kern w:val="0"/>
                <w:sz w:val="28"/>
                <w:szCs w:val="28"/>
                <w:lang w:val="en-US" w:eastAsia="zh-CN" w:bidi="ar"/>
              </w:rPr>
              <w:t>专栏2 实施金融特色带创新工程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4" w:hRule="atLeast"/>
        </w:trPr>
        <w:tc>
          <w:tcPr>
            <w:tcW w:w="8600" w:type="dxa"/>
            <w:noWrap w:val="0"/>
            <w:vAlign w:val="top"/>
          </w:tcPr>
          <w:p>
            <w:pPr>
              <w:pageBreakBefore w:val="0"/>
              <w:widowControl/>
              <w:kinsoku/>
              <w:wordWrap/>
              <w:overflowPunct/>
              <w:topLinePunct w:val="0"/>
              <w:autoSpaceDE/>
              <w:autoSpaceDN/>
              <w:bidi w:val="0"/>
              <w:spacing w:line="560" w:lineRule="exact"/>
              <w:ind w:firstLine="560" w:firstLineChars="200"/>
              <w:textAlignment w:val="auto"/>
              <w:rPr>
                <w:rFonts w:hint="eastAsia" w:ascii="仿宋_GB2312" w:eastAsia="仿宋_GB2312" w:cs="Times New Roman" w:hAnsiTheme="minorHAnsi"/>
                <w:i w:val="0"/>
                <w:iCs w:val="0"/>
                <w:color w:val="000000"/>
                <w:kern w:val="0"/>
                <w:sz w:val="28"/>
                <w:szCs w:val="28"/>
                <w:lang w:val="en-US" w:eastAsia="zh-CN" w:bidi="ar"/>
              </w:rPr>
            </w:pPr>
            <w:r>
              <w:rPr>
                <w:rFonts w:hint="eastAsia" w:ascii="仿宋_GB2312" w:eastAsia="仿宋_GB2312" w:cs="Times New Roman" w:hAnsiTheme="minorHAnsi"/>
                <w:i w:val="0"/>
                <w:iCs w:val="0"/>
                <w:color w:val="000000"/>
                <w:kern w:val="0"/>
                <w:sz w:val="28"/>
                <w:szCs w:val="28"/>
                <w:lang w:val="en-US" w:eastAsia="zh-CN" w:bidi="ar"/>
              </w:rPr>
              <w:t>1.东昌府区依托现有基金培育基础，大力发展产业投资基金，搭建金融资本和高科技企业合作共赢新平台。</w:t>
            </w:r>
          </w:p>
          <w:p>
            <w:pPr>
              <w:pageBreakBefore w:val="0"/>
              <w:widowControl/>
              <w:kinsoku/>
              <w:wordWrap/>
              <w:overflowPunct/>
              <w:topLinePunct w:val="0"/>
              <w:autoSpaceDE/>
              <w:autoSpaceDN/>
              <w:bidi w:val="0"/>
              <w:spacing w:line="560" w:lineRule="exact"/>
              <w:ind w:firstLine="560" w:firstLineChars="200"/>
              <w:textAlignment w:val="auto"/>
              <w:rPr>
                <w:rFonts w:hint="eastAsia" w:ascii="仿宋_GB2312" w:eastAsia="仿宋_GB2312" w:cs="Times New Roman" w:hAnsiTheme="minorHAnsi"/>
                <w:i w:val="0"/>
                <w:iCs w:val="0"/>
                <w:color w:val="000000"/>
                <w:kern w:val="0"/>
                <w:sz w:val="28"/>
                <w:szCs w:val="28"/>
                <w:lang w:val="en-US" w:eastAsia="zh-CN" w:bidi="ar"/>
              </w:rPr>
            </w:pPr>
            <w:r>
              <w:rPr>
                <w:rFonts w:hint="eastAsia" w:ascii="仿宋_GB2312" w:eastAsia="仿宋_GB2312" w:cs="Times New Roman" w:hAnsiTheme="minorHAnsi"/>
                <w:i w:val="0"/>
                <w:iCs w:val="0"/>
                <w:color w:val="000000"/>
                <w:kern w:val="0"/>
                <w:sz w:val="28"/>
                <w:szCs w:val="28"/>
                <w:lang w:val="en-US" w:eastAsia="zh-CN" w:bidi="ar"/>
              </w:rPr>
              <w:t>2.冠县聚焦制造业产业升级，加快推进绿色金融领域的改革创新，着力破除产业发展与污染防治之间的矛盾。</w:t>
            </w:r>
          </w:p>
          <w:p>
            <w:pPr>
              <w:pageBreakBefore w:val="0"/>
              <w:widowControl/>
              <w:kinsoku/>
              <w:wordWrap/>
              <w:overflowPunct/>
              <w:topLinePunct w:val="0"/>
              <w:autoSpaceDE/>
              <w:autoSpaceDN/>
              <w:bidi w:val="0"/>
              <w:spacing w:line="560" w:lineRule="exact"/>
              <w:ind w:firstLine="560" w:firstLineChars="200"/>
              <w:textAlignment w:val="auto"/>
              <w:rPr>
                <w:rFonts w:hint="eastAsia" w:ascii="仿宋_GB2312" w:eastAsia="仿宋_GB2312" w:cs="Times New Roman" w:hAnsiTheme="minorHAnsi"/>
                <w:i w:val="0"/>
                <w:iCs w:val="0"/>
                <w:color w:val="000000"/>
                <w:kern w:val="0"/>
                <w:sz w:val="28"/>
                <w:szCs w:val="28"/>
                <w:lang w:val="en-US" w:eastAsia="zh-CN" w:bidi="ar"/>
              </w:rPr>
            </w:pPr>
            <w:r>
              <w:rPr>
                <w:rFonts w:hint="eastAsia" w:ascii="仿宋_GB2312" w:eastAsia="仿宋_GB2312" w:cs="Times New Roman" w:hAnsiTheme="minorHAnsi"/>
                <w:i w:val="0"/>
                <w:iCs w:val="0"/>
                <w:color w:val="000000"/>
                <w:kern w:val="0"/>
                <w:sz w:val="28"/>
                <w:szCs w:val="28"/>
                <w:lang w:val="en-US" w:eastAsia="zh-CN" w:bidi="ar"/>
              </w:rPr>
              <w:t>3.茌平依托信发等重点领域龙头企业，以产业链上下游的中小企业为重点，大力发展铝电、化工产业链金融。</w:t>
            </w:r>
          </w:p>
          <w:p>
            <w:pPr>
              <w:pageBreakBefore w:val="0"/>
              <w:widowControl/>
              <w:kinsoku/>
              <w:wordWrap/>
              <w:overflowPunct/>
              <w:topLinePunct w:val="0"/>
              <w:autoSpaceDE/>
              <w:autoSpaceDN/>
              <w:bidi w:val="0"/>
              <w:spacing w:line="560" w:lineRule="exact"/>
              <w:ind w:firstLine="560" w:firstLineChars="200"/>
              <w:textAlignment w:val="auto"/>
              <w:rPr>
                <w:rFonts w:hint="eastAsia" w:ascii="仿宋_GB2312" w:eastAsia="仿宋_GB2312" w:cs="Times New Roman" w:hAnsiTheme="minorHAnsi"/>
                <w:i w:val="0"/>
                <w:iCs w:val="0"/>
                <w:color w:val="000000"/>
                <w:kern w:val="0"/>
                <w:sz w:val="28"/>
                <w:szCs w:val="28"/>
                <w:lang w:val="en-US" w:eastAsia="zh-CN" w:bidi="ar"/>
              </w:rPr>
            </w:pPr>
            <w:r>
              <w:rPr>
                <w:rFonts w:hint="eastAsia" w:ascii="仿宋_GB2312" w:eastAsia="仿宋_GB2312" w:cs="Times New Roman" w:hAnsiTheme="minorHAnsi"/>
                <w:i w:val="0"/>
                <w:iCs w:val="0"/>
                <w:color w:val="000000"/>
                <w:kern w:val="0"/>
                <w:sz w:val="28"/>
                <w:szCs w:val="28"/>
                <w:lang w:val="en-US" w:eastAsia="zh-CN" w:bidi="ar"/>
              </w:rPr>
              <w:t>4.莘县依托农业优势，创新乡村特色金融产品，优化金融产品供给结构，全面满足“三农”客户差异化、个性化融资需求。</w:t>
            </w:r>
          </w:p>
          <w:p>
            <w:pPr>
              <w:pageBreakBefore w:val="0"/>
              <w:widowControl/>
              <w:kinsoku/>
              <w:wordWrap/>
              <w:overflowPunct/>
              <w:topLinePunct w:val="0"/>
              <w:autoSpaceDE/>
              <w:autoSpaceDN/>
              <w:bidi w:val="0"/>
              <w:spacing w:line="560" w:lineRule="exact"/>
              <w:ind w:firstLine="560" w:firstLineChars="200"/>
              <w:textAlignment w:val="auto"/>
              <w:rPr>
                <w:rFonts w:hint="eastAsia" w:ascii="仿宋_GB2312" w:eastAsia="仿宋_GB2312" w:cs="Times New Roman" w:hAnsiTheme="minorHAnsi"/>
                <w:i w:val="0"/>
                <w:iCs w:val="0"/>
                <w:color w:val="000000"/>
                <w:kern w:val="0"/>
                <w:sz w:val="28"/>
                <w:szCs w:val="28"/>
                <w:lang w:val="en-US" w:eastAsia="zh-CN" w:bidi="ar"/>
              </w:rPr>
            </w:pPr>
            <w:r>
              <w:rPr>
                <w:rFonts w:hint="eastAsia" w:ascii="仿宋_GB2312" w:eastAsia="仿宋_GB2312" w:cs="Times New Roman" w:hAnsiTheme="minorHAnsi"/>
                <w:i w:val="0"/>
                <w:iCs w:val="0"/>
                <w:color w:val="000000"/>
                <w:kern w:val="0"/>
                <w:sz w:val="28"/>
                <w:szCs w:val="28"/>
                <w:lang w:val="en-US" w:eastAsia="zh-CN" w:bidi="ar"/>
              </w:rPr>
              <w:t>5.阳谷县、临清市紧抓“大运河”文化带机遇，创新文旅金融产品，统筹推进文化保护传承和区域高质量发展。</w:t>
            </w:r>
          </w:p>
          <w:p>
            <w:pPr>
              <w:pageBreakBefore w:val="0"/>
              <w:widowControl/>
              <w:kinsoku/>
              <w:wordWrap/>
              <w:overflowPunct/>
              <w:topLinePunct w:val="0"/>
              <w:autoSpaceDE/>
              <w:autoSpaceDN/>
              <w:bidi w:val="0"/>
              <w:spacing w:line="560" w:lineRule="exact"/>
              <w:ind w:firstLine="560" w:firstLineChars="200"/>
              <w:textAlignment w:val="auto"/>
              <w:rPr>
                <w:rFonts w:hint="eastAsia" w:ascii="仿宋_GB2312" w:eastAsia="仿宋_GB2312" w:cs="Times New Roman" w:hAnsiTheme="minorHAnsi"/>
                <w:i w:val="0"/>
                <w:iCs w:val="0"/>
                <w:color w:val="000000"/>
                <w:kern w:val="0"/>
                <w:sz w:val="28"/>
                <w:szCs w:val="28"/>
                <w:lang w:val="en-US" w:eastAsia="zh-CN" w:bidi="ar"/>
              </w:rPr>
            </w:pPr>
            <w:r>
              <w:rPr>
                <w:rFonts w:hint="eastAsia" w:ascii="仿宋_GB2312" w:eastAsia="仿宋_GB2312" w:cs="Times New Roman" w:hAnsiTheme="minorHAnsi"/>
                <w:i w:val="0"/>
                <w:iCs w:val="0"/>
                <w:color w:val="000000"/>
                <w:kern w:val="0"/>
                <w:sz w:val="28"/>
                <w:szCs w:val="28"/>
                <w:lang w:val="en-US" w:eastAsia="zh-CN" w:bidi="ar"/>
              </w:rPr>
              <w:t>6.高唐县深入挖掘“书画+锦鲤”特色文化资源，引导金融赋能文旅产业发展，打造中国·高唐书画文创康养产业园、中国锦鲤文旅小镇。</w:t>
            </w:r>
          </w:p>
          <w:p>
            <w:pPr>
              <w:pageBreakBefore w:val="0"/>
              <w:widowControl/>
              <w:kinsoku/>
              <w:wordWrap/>
              <w:overflowPunct/>
              <w:topLinePunct w:val="0"/>
              <w:autoSpaceDE/>
              <w:autoSpaceDN/>
              <w:bidi w:val="0"/>
              <w:spacing w:line="560" w:lineRule="exact"/>
              <w:ind w:firstLine="560" w:firstLineChars="200"/>
              <w:textAlignment w:val="auto"/>
              <w:rPr>
                <w:rFonts w:hint="eastAsia" w:ascii="仿宋_GB2312" w:eastAsia="仿宋_GB2312" w:cs="Times New Roman" w:hAnsiTheme="minorHAnsi"/>
                <w:i w:val="0"/>
                <w:iCs w:val="0"/>
                <w:color w:val="000000"/>
                <w:kern w:val="0"/>
                <w:sz w:val="28"/>
                <w:szCs w:val="28"/>
                <w:lang w:val="en-US" w:eastAsia="zh-CN" w:bidi="ar"/>
              </w:rPr>
            </w:pPr>
            <w:r>
              <w:rPr>
                <w:rFonts w:hint="eastAsia" w:ascii="仿宋_GB2312" w:eastAsia="仿宋_GB2312" w:cs="Times New Roman" w:hAnsiTheme="minorHAnsi"/>
                <w:i w:val="0"/>
                <w:iCs w:val="0"/>
                <w:color w:val="000000"/>
                <w:kern w:val="0"/>
                <w:sz w:val="28"/>
                <w:szCs w:val="28"/>
                <w:lang w:val="en-US" w:eastAsia="zh-CN" w:bidi="ar"/>
              </w:rPr>
              <w:t>7.度假区推进“金融+文旅”跨界合作，探索文旅债券、文旅基金等文旅金融产品，助力文旅企业“乘风破浪”。</w:t>
            </w:r>
          </w:p>
          <w:p>
            <w:pPr>
              <w:pageBreakBefore w:val="0"/>
              <w:widowControl/>
              <w:kinsoku/>
              <w:wordWrap/>
              <w:overflowPunct/>
              <w:topLinePunct w:val="0"/>
              <w:autoSpaceDE/>
              <w:autoSpaceDN/>
              <w:bidi w:val="0"/>
              <w:spacing w:line="560" w:lineRule="exact"/>
              <w:ind w:firstLine="560" w:firstLineChars="200"/>
              <w:textAlignment w:val="auto"/>
              <w:rPr>
                <w:rFonts w:hint="eastAsia" w:ascii="仿宋_GB2312" w:eastAsia="仿宋_GB2312" w:cs="Times New Roman" w:hAnsiTheme="minorHAnsi"/>
                <w:i w:val="0"/>
                <w:iCs w:val="0"/>
                <w:color w:val="000000"/>
                <w:kern w:val="0"/>
                <w:sz w:val="28"/>
                <w:szCs w:val="28"/>
                <w:lang w:val="en-US" w:eastAsia="zh-CN" w:bidi="ar"/>
              </w:rPr>
            </w:pPr>
            <w:r>
              <w:rPr>
                <w:rFonts w:hint="eastAsia" w:ascii="仿宋_GB2312" w:eastAsia="仿宋_GB2312" w:cs="Times New Roman" w:hAnsiTheme="minorHAnsi"/>
                <w:i w:val="0"/>
                <w:iCs w:val="0"/>
                <w:color w:val="000000"/>
                <w:kern w:val="0"/>
                <w:sz w:val="28"/>
                <w:szCs w:val="28"/>
                <w:lang w:val="en-US" w:eastAsia="zh-CN" w:bidi="ar"/>
              </w:rPr>
              <w:t>8.东阿县围绕打造黄河康养旅游度假区，强化政策、产品支撑，为康养项目、产业发展提供专项金融服务。</w:t>
            </w:r>
          </w:p>
          <w:p>
            <w:pPr>
              <w:pageBreakBefore w:val="0"/>
              <w:widowControl/>
              <w:kinsoku/>
              <w:wordWrap/>
              <w:overflowPunct/>
              <w:topLinePunct w:val="0"/>
              <w:autoSpaceDE/>
              <w:autoSpaceDN/>
              <w:bidi w:val="0"/>
              <w:spacing w:line="560" w:lineRule="exact"/>
              <w:ind w:firstLine="560" w:firstLineChars="200"/>
              <w:textAlignment w:val="auto"/>
              <w:rPr>
                <w:rFonts w:hint="eastAsia" w:ascii="仿宋_GB2312" w:eastAsia="仿宋_GB2312" w:cs="Times New Roman" w:hAnsiTheme="minorHAnsi"/>
                <w:i w:val="0"/>
                <w:iCs w:val="0"/>
                <w:color w:val="000000"/>
                <w:kern w:val="0"/>
                <w:sz w:val="28"/>
                <w:szCs w:val="28"/>
                <w:lang w:val="en-US" w:eastAsia="zh-CN" w:bidi="ar"/>
              </w:rPr>
            </w:pPr>
            <w:r>
              <w:rPr>
                <w:rFonts w:hint="eastAsia" w:ascii="仿宋_GB2312" w:eastAsia="仿宋_GB2312" w:cs="Times New Roman" w:hAnsiTheme="minorHAnsi"/>
                <w:i w:val="0"/>
                <w:iCs w:val="0"/>
                <w:color w:val="000000"/>
                <w:kern w:val="0"/>
                <w:sz w:val="28"/>
                <w:szCs w:val="28"/>
                <w:lang w:val="en-US" w:eastAsia="zh-CN" w:bidi="ar"/>
              </w:rPr>
              <w:t>9.开发区围绕小微园区企业创新金融服务，打造“金融+科技+园区+政府”多位一体的园区金融服务模式。</w:t>
            </w:r>
          </w:p>
          <w:p>
            <w:pPr>
              <w:pageBreakBefore w:val="0"/>
              <w:widowControl/>
              <w:kinsoku/>
              <w:wordWrap/>
              <w:overflowPunct/>
              <w:topLinePunct w:val="0"/>
              <w:autoSpaceDE/>
              <w:autoSpaceDN/>
              <w:bidi w:val="0"/>
              <w:spacing w:line="560" w:lineRule="exact"/>
              <w:ind w:firstLine="560" w:firstLineChars="200"/>
              <w:textAlignment w:val="auto"/>
              <w:rPr>
                <w:rFonts w:hint="eastAsia" w:ascii="仿宋_GB2312" w:hAnsi="Calibri" w:eastAsia="仿宋_GB2312" w:cs="Times New Roman"/>
                <w:b w:val="0"/>
                <w:bCs w:val="0"/>
                <w:i w:val="0"/>
                <w:iCs w:val="0"/>
                <w:color w:val="000000"/>
                <w:kern w:val="0"/>
                <w:sz w:val="28"/>
                <w:szCs w:val="28"/>
                <w:vertAlign w:val="baseline"/>
                <w:lang w:val="en-US" w:eastAsia="zh-CN" w:bidi="ar"/>
              </w:rPr>
            </w:pPr>
            <w:r>
              <w:rPr>
                <w:rFonts w:hint="eastAsia" w:ascii="仿宋_GB2312" w:eastAsia="仿宋_GB2312" w:cs="Times New Roman" w:hAnsiTheme="minorHAnsi"/>
                <w:i w:val="0"/>
                <w:iCs w:val="0"/>
                <w:color w:val="000000"/>
                <w:kern w:val="0"/>
                <w:sz w:val="28"/>
                <w:szCs w:val="28"/>
                <w:lang w:val="en-US" w:eastAsia="zh-CN" w:bidi="ar"/>
              </w:rPr>
              <w:t>10.高新区以聊城市产业</w:t>
            </w:r>
            <w:r>
              <w:rPr>
                <w:rFonts w:hint="eastAsia" w:ascii="仿宋_GB2312" w:eastAsia="仿宋_GB2312" w:cs="Times New Roman"/>
                <w:i w:val="0"/>
                <w:iCs w:val="0"/>
                <w:color w:val="000000"/>
                <w:kern w:val="0"/>
                <w:sz w:val="28"/>
                <w:szCs w:val="28"/>
                <w:lang w:val="en-US" w:eastAsia="zh-CN" w:bidi="ar"/>
              </w:rPr>
              <w:t>技术</w:t>
            </w:r>
            <w:r>
              <w:rPr>
                <w:rFonts w:hint="eastAsia" w:ascii="仿宋_GB2312" w:eastAsia="仿宋_GB2312" w:cs="Times New Roman" w:hAnsiTheme="minorHAnsi"/>
                <w:i w:val="0"/>
                <w:iCs w:val="0"/>
                <w:color w:val="000000"/>
                <w:kern w:val="0"/>
                <w:sz w:val="28"/>
                <w:szCs w:val="28"/>
                <w:lang w:val="en-US" w:eastAsia="zh-CN" w:bidi="ar"/>
              </w:rPr>
              <w:t>研究院和山东科技金融服务中心聊城中心项目等为载体，探索科技型企业综合服务模式，推动金融、科技深度融合。</w:t>
            </w:r>
          </w:p>
        </w:tc>
      </w:tr>
    </w:tbl>
    <w:p>
      <w:pPr>
        <w:pStyle w:val="9"/>
        <w:rPr>
          <w:rFonts w:hint="eastAsia"/>
          <w:lang w:val="en-US" w:eastAsia="zh-CN"/>
        </w:rPr>
      </w:pPr>
    </w:p>
    <w:p>
      <w:pPr>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eastAsia="仿宋_GB2312" w:cs="Times New Roman"/>
          <w:b w:val="0"/>
          <w:bCs w:val="0"/>
          <w:i w:val="0"/>
          <w:iCs w:val="0"/>
          <w:color w:val="000000"/>
          <w:sz w:val="32"/>
          <w:szCs w:val="32"/>
          <w:lang w:val="en-US" w:eastAsia="zh-CN"/>
        </w:rPr>
      </w:pPr>
    </w:p>
    <w:p>
      <w:pPr>
        <w:pageBreakBefore w:val="0"/>
        <w:widowControl/>
        <w:numPr>
          <w:ilvl w:val="0"/>
          <w:numId w:val="0"/>
        </w:numPr>
        <w:kinsoku/>
        <w:wordWrap/>
        <w:overflowPunct/>
        <w:topLinePunct w:val="0"/>
        <w:autoSpaceDE/>
        <w:autoSpaceDN/>
        <w:bidi w:val="0"/>
        <w:adjustRightInd/>
        <w:snapToGrid/>
        <w:spacing w:line="600" w:lineRule="exact"/>
        <w:ind w:firstLine="720" w:firstLineChars="200"/>
        <w:jc w:val="left"/>
        <w:textAlignment w:val="auto"/>
        <w:rPr>
          <w:rFonts w:hint="eastAsia" w:ascii="黑体" w:hAnsi="黑体" w:eastAsia="黑体" w:cs="CESI黑体-GB2312"/>
          <w:sz w:val="36"/>
          <w:szCs w:val="36"/>
          <w:lang w:eastAsia="zh-CN"/>
        </w:rPr>
      </w:pPr>
      <w:bookmarkStart w:id="60" w:name="_Toc885333632_WPSOffice_Level1"/>
      <w:r>
        <w:rPr>
          <w:rFonts w:hint="eastAsia" w:ascii="黑体" w:hAnsi="黑体" w:eastAsia="黑体" w:cs="CESI黑体-GB2312"/>
          <w:sz w:val="36"/>
          <w:szCs w:val="36"/>
          <w:lang w:val="en-US" w:eastAsia="zh-CN"/>
        </w:rPr>
        <w:t xml:space="preserve">第四部分  </w:t>
      </w:r>
      <w:r>
        <w:rPr>
          <w:rFonts w:hint="eastAsia" w:ascii="黑体" w:hAnsi="黑体" w:eastAsia="黑体" w:cs="CESI黑体-GB2312"/>
          <w:sz w:val="36"/>
          <w:szCs w:val="36"/>
        </w:rPr>
        <w:t>聚焦区域高质量发展</w:t>
      </w:r>
      <w:r>
        <w:rPr>
          <w:rFonts w:hint="eastAsia" w:ascii="黑体" w:hAnsi="黑体" w:eastAsia="黑体" w:cs="CESI黑体-GB2312"/>
          <w:sz w:val="36"/>
          <w:szCs w:val="36"/>
          <w:lang w:val="en-US" w:eastAsia="zh-CN"/>
        </w:rPr>
        <w:t xml:space="preserve"> </w:t>
      </w:r>
      <w:r>
        <w:rPr>
          <w:rFonts w:hint="eastAsia" w:ascii="黑体" w:hAnsi="黑体" w:eastAsia="黑体" w:cs="CESI黑体-GB2312"/>
          <w:sz w:val="36"/>
          <w:szCs w:val="36"/>
          <w:lang w:eastAsia="zh-CN"/>
        </w:rPr>
        <w:t>实施金融赋能工程</w:t>
      </w:r>
      <w:bookmarkEnd w:id="60"/>
    </w:p>
    <w:p>
      <w:pPr>
        <w:keepNext/>
        <w:keepLines/>
        <w:widowControl w:val="0"/>
        <w:numPr>
          <w:ilvl w:val="0"/>
          <w:numId w:val="0"/>
        </w:numPr>
        <w:spacing w:before="0" w:after="0" w:line="560" w:lineRule="exact"/>
        <w:ind w:firstLine="640" w:firstLineChars="200"/>
        <w:jc w:val="center"/>
        <w:outlineLvl w:val="0"/>
        <w:rPr>
          <w:rFonts w:hint="eastAsia" w:ascii="CESI黑体-GB2312" w:hAnsi="CESI黑体-GB2312" w:eastAsia="CESI黑体-GB2312" w:cs="CESI黑体-GB2312"/>
          <w:b w:val="0"/>
          <w:bCs w:val="0"/>
          <w:snapToGrid w:val="0"/>
          <w:kern w:val="0"/>
          <w:sz w:val="32"/>
          <w:szCs w:val="32"/>
          <w:lang w:val="en-US" w:eastAsia="zh-CN" w:bidi="ar-SA"/>
        </w:rPr>
      </w:pPr>
    </w:p>
    <w:p>
      <w:pPr>
        <w:keepNext/>
        <w:keepLines/>
        <w:pageBreakBefore w:val="0"/>
        <w:widowControl w:val="0"/>
        <w:numPr>
          <w:ilvl w:val="0"/>
          <w:numId w:val="5"/>
        </w:numPr>
        <w:kinsoku/>
        <w:wordWrap/>
        <w:overflowPunct/>
        <w:topLinePunct w:val="0"/>
        <w:autoSpaceDE/>
        <w:autoSpaceDN/>
        <w:bidi w:val="0"/>
        <w:adjustRightInd/>
        <w:snapToGrid/>
        <w:spacing w:before="0" w:after="0" w:line="600" w:lineRule="exact"/>
        <w:jc w:val="center"/>
        <w:textAlignment w:val="auto"/>
        <w:outlineLvl w:val="0"/>
        <w:rPr>
          <w:rFonts w:hint="eastAsia" w:ascii="黑体" w:hAnsi="黑体" w:eastAsia="黑体" w:cs="黑体"/>
          <w:b w:val="0"/>
          <w:bCs w:val="0"/>
          <w:snapToGrid w:val="0"/>
          <w:kern w:val="0"/>
          <w:sz w:val="32"/>
          <w:szCs w:val="32"/>
          <w:lang w:val="en-US" w:eastAsia="zh-CN" w:bidi="ar-SA"/>
        </w:rPr>
      </w:pPr>
      <w:bookmarkStart w:id="61" w:name="_Toc518189128_WPSOffice_Level2"/>
      <w:r>
        <w:rPr>
          <w:rFonts w:hint="eastAsia" w:ascii="黑体" w:hAnsi="黑体" w:eastAsia="黑体" w:cs="黑体"/>
          <w:b w:val="0"/>
          <w:bCs w:val="0"/>
          <w:snapToGrid w:val="0"/>
          <w:kern w:val="0"/>
          <w:sz w:val="32"/>
          <w:szCs w:val="32"/>
          <w:lang w:val="en-US" w:eastAsia="zh-CN" w:bidi="ar-SA"/>
        </w:rPr>
        <w:t>构建金融支持制造业发展新格局</w:t>
      </w:r>
      <w:bookmarkEnd w:id="61"/>
    </w:p>
    <w:p>
      <w:pPr>
        <w:pStyle w:val="5"/>
        <w:numPr>
          <w:ilvl w:val="0"/>
          <w:numId w:val="0"/>
        </w:num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val="0"/>
          <w:bCs w:val="0"/>
          <w:i w:val="0"/>
          <w:iCs w:val="0"/>
          <w:color w:val="000000"/>
          <w:sz w:val="32"/>
          <w:szCs w:val="32"/>
          <w:lang w:val="en-US" w:eastAsia="zh-CN"/>
        </w:rPr>
        <w:t>紧紧围绕打造冀鲁豫三省先进制造业基地战略目标，</w:t>
      </w:r>
      <w:r>
        <w:rPr>
          <w:rFonts w:hint="default" w:ascii="仿宋_GB2312" w:eastAsia="仿宋_GB2312" w:cs="Times New Roman"/>
          <w:b w:val="0"/>
          <w:bCs w:val="0"/>
          <w:i w:val="0"/>
          <w:iCs w:val="0"/>
          <w:color w:val="000000"/>
          <w:sz w:val="32"/>
          <w:szCs w:val="32"/>
          <w:lang w:val="en-US" w:eastAsia="zh-CN"/>
        </w:rPr>
        <w:t>引导</w:t>
      </w:r>
      <w:r>
        <w:rPr>
          <w:rFonts w:hint="eastAsia" w:ascii="仿宋_GB2312" w:eastAsia="仿宋_GB2312" w:cs="Times New Roman"/>
          <w:b w:val="0"/>
          <w:bCs w:val="0"/>
          <w:i w:val="0"/>
          <w:iCs w:val="0"/>
          <w:color w:val="000000"/>
          <w:sz w:val="32"/>
          <w:szCs w:val="32"/>
          <w:lang w:val="en-US" w:eastAsia="zh-CN"/>
        </w:rPr>
        <w:t>各类</w:t>
      </w:r>
      <w:r>
        <w:rPr>
          <w:rFonts w:hint="default" w:ascii="仿宋_GB2312" w:eastAsia="仿宋_GB2312" w:cs="Times New Roman"/>
          <w:b w:val="0"/>
          <w:bCs w:val="0"/>
          <w:i w:val="0"/>
          <w:iCs w:val="0"/>
          <w:color w:val="000000"/>
          <w:sz w:val="32"/>
          <w:szCs w:val="32"/>
          <w:lang w:val="en-US" w:eastAsia="zh-CN"/>
        </w:rPr>
        <w:t>金融资源重点支持</w:t>
      </w:r>
      <w:r>
        <w:rPr>
          <w:rFonts w:hint="eastAsia" w:ascii="仿宋_GB2312" w:eastAsia="仿宋_GB2312" w:cs="Times New Roman"/>
          <w:b w:val="0"/>
          <w:bCs w:val="0"/>
          <w:i w:val="0"/>
          <w:iCs w:val="0"/>
          <w:color w:val="000000"/>
          <w:sz w:val="32"/>
          <w:szCs w:val="32"/>
          <w:lang w:val="en-US" w:eastAsia="zh-CN"/>
        </w:rPr>
        <w:t>生物医药、</w:t>
      </w:r>
      <w:r>
        <w:rPr>
          <w:rFonts w:hint="default" w:ascii="仿宋_GB2312" w:eastAsia="仿宋_GB2312" w:cs="Times New Roman"/>
          <w:b w:val="0"/>
          <w:bCs w:val="0"/>
          <w:i w:val="0"/>
          <w:iCs w:val="0"/>
          <w:color w:val="000000"/>
          <w:sz w:val="32"/>
          <w:szCs w:val="32"/>
          <w:lang w:val="en-US" w:eastAsia="zh-CN"/>
        </w:rPr>
        <w:t>新一代信息技术、新材料、新能源</w:t>
      </w:r>
      <w:r>
        <w:rPr>
          <w:rFonts w:hint="eastAsia" w:ascii="仿宋_GB2312" w:eastAsia="仿宋_GB2312" w:cs="Times New Roman"/>
          <w:b w:val="0"/>
          <w:bCs w:val="0"/>
          <w:i w:val="0"/>
          <w:iCs w:val="0"/>
          <w:color w:val="000000"/>
          <w:sz w:val="32"/>
          <w:szCs w:val="32"/>
          <w:lang w:val="en-US" w:eastAsia="zh-CN"/>
        </w:rPr>
        <w:t>等新兴产业发展壮</w:t>
      </w:r>
      <w:r>
        <w:rPr>
          <w:rFonts w:hint="default" w:ascii="仿宋_GB2312" w:eastAsia="仿宋_GB2312" w:cs="Times New Roman"/>
          <w:b w:val="0"/>
          <w:bCs w:val="0"/>
          <w:i w:val="0"/>
          <w:iCs w:val="0"/>
          <w:color w:val="000000"/>
          <w:sz w:val="32"/>
          <w:szCs w:val="32"/>
          <w:lang w:val="en-US" w:eastAsia="zh-CN"/>
        </w:rPr>
        <w:t>大</w:t>
      </w:r>
      <w:r>
        <w:rPr>
          <w:rFonts w:hint="eastAsia" w:ascii="仿宋_GB2312" w:eastAsia="仿宋_GB2312" w:cs="Times New Roman"/>
          <w:b w:val="0"/>
          <w:bCs w:val="0"/>
          <w:i w:val="0"/>
          <w:iCs w:val="0"/>
          <w:color w:val="000000"/>
          <w:sz w:val="32"/>
          <w:szCs w:val="32"/>
          <w:lang w:val="en-US" w:eastAsia="zh-CN"/>
        </w:rPr>
        <w:t>，全力</w:t>
      </w:r>
      <w:r>
        <w:rPr>
          <w:rFonts w:hint="default" w:ascii="仿宋_GB2312" w:eastAsia="仿宋_GB2312" w:cs="Times New Roman"/>
          <w:b w:val="0"/>
          <w:bCs w:val="0"/>
          <w:i w:val="0"/>
          <w:iCs w:val="0"/>
          <w:color w:val="000000"/>
          <w:sz w:val="32"/>
          <w:szCs w:val="32"/>
          <w:lang w:val="en-US" w:eastAsia="zh-CN"/>
        </w:rPr>
        <w:t>助</w:t>
      </w:r>
      <w:r>
        <w:rPr>
          <w:rFonts w:hint="eastAsia" w:ascii="仿宋_GB2312" w:eastAsia="仿宋_GB2312" w:cs="Times New Roman"/>
          <w:b w:val="0"/>
          <w:bCs w:val="0"/>
          <w:i w:val="0"/>
          <w:iCs w:val="0"/>
          <w:color w:val="000000"/>
          <w:sz w:val="32"/>
          <w:szCs w:val="32"/>
          <w:lang w:val="en-US" w:eastAsia="zh-CN"/>
        </w:rPr>
        <w:t>推有色金融及金属深加工、装备制造、农副产品加工、纺织服务、造纸印刷等传统优势产业向</w:t>
      </w:r>
      <w:r>
        <w:rPr>
          <w:rFonts w:hint="default" w:ascii="仿宋_GB2312" w:eastAsia="仿宋_GB2312" w:cs="Times New Roman"/>
          <w:b w:val="0"/>
          <w:bCs w:val="0"/>
          <w:i w:val="0"/>
          <w:iCs w:val="0"/>
          <w:color w:val="000000"/>
          <w:sz w:val="32"/>
          <w:szCs w:val="32"/>
          <w:lang w:val="en-US" w:eastAsia="zh-CN"/>
        </w:rPr>
        <w:t>高端化</w:t>
      </w:r>
      <w:r>
        <w:rPr>
          <w:rFonts w:hint="eastAsia" w:ascii="仿宋_GB2312" w:eastAsia="仿宋_GB2312" w:cs="Times New Roman"/>
          <w:b w:val="0"/>
          <w:bCs w:val="0"/>
          <w:i w:val="0"/>
          <w:iCs w:val="0"/>
          <w:color w:val="000000"/>
          <w:sz w:val="32"/>
          <w:szCs w:val="32"/>
          <w:lang w:val="en-US" w:eastAsia="zh-CN"/>
        </w:rPr>
        <w:t>、</w:t>
      </w:r>
      <w:r>
        <w:rPr>
          <w:rFonts w:hint="default" w:ascii="仿宋_GB2312" w:eastAsia="仿宋_GB2312" w:cs="Times New Roman"/>
          <w:b w:val="0"/>
          <w:bCs w:val="0"/>
          <w:i w:val="0"/>
          <w:iCs w:val="0"/>
          <w:color w:val="000000"/>
          <w:sz w:val="32"/>
          <w:szCs w:val="32"/>
          <w:lang w:val="en-US" w:eastAsia="zh-CN"/>
        </w:rPr>
        <w:t>智能化、绿色化</w:t>
      </w:r>
      <w:r>
        <w:rPr>
          <w:rFonts w:hint="eastAsia" w:ascii="仿宋_GB2312" w:eastAsia="仿宋_GB2312" w:cs="Times New Roman"/>
          <w:b w:val="0"/>
          <w:bCs w:val="0"/>
          <w:i w:val="0"/>
          <w:iCs w:val="0"/>
          <w:color w:val="000000"/>
          <w:sz w:val="32"/>
          <w:szCs w:val="32"/>
          <w:lang w:val="en-US" w:eastAsia="zh-CN"/>
        </w:rPr>
        <w:t>、服务化</w:t>
      </w:r>
      <w:r>
        <w:rPr>
          <w:rFonts w:hint="default" w:ascii="仿宋_GB2312" w:eastAsia="仿宋_GB2312" w:cs="Times New Roman"/>
          <w:b w:val="0"/>
          <w:bCs w:val="0"/>
          <w:i w:val="0"/>
          <w:iCs w:val="0"/>
          <w:color w:val="000000"/>
          <w:sz w:val="32"/>
          <w:szCs w:val="32"/>
          <w:lang w:val="en-US" w:eastAsia="zh-CN"/>
        </w:rPr>
        <w:t>转型</w:t>
      </w:r>
      <w:r>
        <w:rPr>
          <w:rFonts w:hint="eastAsia" w:ascii="仿宋_GB2312" w:eastAsia="仿宋_GB2312" w:cs="Times New Roman"/>
          <w:b w:val="0"/>
          <w:bCs w:val="0"/>
          <w:i w:val="0"/>
          <w:iCs w:val="0"/>
          <w:color w:val="000000"/>
          <w:sz w:val="32"/>
          <w:szCs w:val="32"/>
          <w:lang w:val="en-US" w:eastAsia="zh-CN"/>
        </w:rPr>
        <w:t>，创新符合产业链、</w:t>
      </w:r>
      <w:r>
        <w:rPr>
          <w:rFonts w:hint="default" w:ascii="仿宋_GB2312" w:eastAsia="仿宋_GB2312" w:cs="Times New Roman"/>
          <w:b w:val="0"/>
          <w:bCs w:val="0"/>
          <w:i w:val="0"/>
          <w:iCs w:val="0"/>
          <w:color w:val="000000"/>
          <w:sz w:val="32"/>
          <w:szCs w:val="32"/>
          <w:lang w:val="en-US" w:eastAsia="zh-CN"/>
        </w:rPr>
        <w:t>产业集群</w:t>
      </w:r>
      <w:r>
        <w:rPr>
          <w:rFonts w:hint="eastAsia" w:ascii="仿宋_GB2312" w:eastAsia="仿宋_GB2312" w:cs="Times New Roman"/>
          <w:b w:val="0"/>
          <w:bCs w:val="0"/>
          <w:i w:val="0"/>
          <w:iCs w:val="0"/>
          <w:color w:val="000000"/>
          <w:sz w:val="32"/>
          <w:szCs w:val="32"/>
          <w:lang w:val="en-US" w:eastAsia="zh-CN"/>
        </w:rPr>
        <w:t>特点的</w:t>
      </w:r>
      <w:r>
        <w:rPr>
          <w:rFonts w:hint="default" w:ascii="仿宋_GB2312" w:eastAsia="仿宋_GB2312" w:cs="Times New Roman"/>
          <w:b w:val="0"/>
          <w:bCs w:val="0"/>
          <w:i w:val="0"/>
          <w:iCs w:val="0"/>
          <w:color w:val="000000"/>
          <w:sz w:val="32"/>
          <w:szCs w:val="32"/>
          <w:lang w:val="en-US" w:eastAsia="zh-CN"/>
        </w:rPr>
        <w:t>金融产品和服务</w:t>
      </w:r>
      <w:r>
        <w:rPr>
          <w:rFonts w:hint="eastAsia" w:ascii="仿宋_GB2312" w:eastAsia="仿宋_GB2312" w:cs="Times New Roman"/>
          <w:b w:val="0"/>
          <w:bCs w:val="0"/>
          <w:i w:val="0"/>
          <w:iCs w:val="0"/>
          <w:color w:val="000000"/>
          <w:sz w:val="32"/>
          <w:szCs w:val="32"/>
          <w:lang w:val="en-US" w:eastAsia="zh-CN"/>
        </w:rPr>
        <w:t>，加快形成企业、科技、</w:t>
      </w:r>
      <w:r>
        <w:rPr>
          <w:rFonts w:hint="default" w:ascii="仿宋_GB2312" w:eastAsia="仿宋_GB2312" w:cs="Times New Roman"/>
          <w:b w:val="0"/>
          <w:bCs w:val="0"/>
          <w:i w:val="0"/>
          <w:iCs w:val="0"/>
          <w:color w:val="000000"/>
          <w:sz w:val="32"/>
          <w:szCs w:val="32"/>
          <w:lang w:val="en-US" w:eastAsia="zh-CN"/>
        </w:rPr>
        <w:t>金融、人</w:t>
      </w:r>
      <w:r>
        <w:rPr>
          <w:rFonts w:hint="eastAsia" w:ascii="仿宋_GB2312" w:eastAsia="仿宋_GB2312" w:cs="Times New Roman"/>
          <w:b w:val="0"/>
          <w:bCs w:val="0"/>
          <w:i w:val="0"/>
          <w:iCs w:val="0"/>
          <w:color w:val="000000"/>
          <w:sz w:val="32"/>
          <w:szCs w:val="32"/>
          <w:lang w:val="en-US" w:eastAsia="zh-CN"/>
        </w:rPr>
        <w:t>才</w:t>
      </w:r>
      <w:r>
        <w:rPr>
          <w:rFonts w:hint="default" w:ascii="仿宋_GB2312" w:eastAsia="仿宋_GB2312" w:cs="Times New Roman"/>
          <w:b w:val="0"/>
          <w:bCs w:val="0"/>
          <w:i w:val="0"/>
          <w:iCs w:val="0"/>
          <w:color w:val="000000"/>
          <w:sz w:val="32"/>
          <w:szCs w:val="32"/>
          <w:lang w:val="en-US" w:eastAsia="zh-CN"/>
        </w:rPr>
        <w:t>协同发展的现代产业体系。</w:t>
      </w:r>
      <w:r>
        <w:rPr>
          <w:rFonts w:hint="eastAsia" w:ascii="仿宋_GB2312" w:eastAsia="仿宋_GB2312" w:cs="Times New Roman"/>
          <w:b w:val="0"/>
          <w:bCs w:val="0"/>
          <w:i w:val="0"/>
          <w:iCs w:val="0"/>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完善制造业信贷服务体系。</w:t>
      </w:r>
      <w:r>
        <w:rPr>
          <w:rFonts w:hint="eastAsia" w:ascii="仿宋_GB2312" w:eastAsia="仿宋_GB2312" w:cs="Times New Roman"/>
          <w:b w:val="0"/>
          <w:bCs w:val="0"/>
          <w:i w:val="0"/>
          <w:iCs w:val="0"/>
          <w:color w:val="000000"/>
          <w:sz w:val="32"/>
          <w:szCs w:val="32"/>
          <w:lang w:val="en-US" w:eastAsia="zh-CN"/>
        </w:rPr>
        <w:t>完善重点制造业企业金融需求收集和跟踪落实机制，加强产业主管部门与金融管理部门的信息共享，推动金融机构与制造业企业及时高效对接。引导银行强化信贷政策落实，全面支持新兴产业发展壮</w:t>
      </w:r>
      <w:r>
        <w:rPr>
          <w:rFonts w:hint="default" w:ascii="仿宋_GB2312" w:eastAsia="仿宋_GB2312" w:cs="Times New Roman"/>
          <w:b w:val="0"/>
          <w:bCs w:val="0"/>
          <w:i w:val="0"/>
          <w:iCs w:val="0"/>
          <w:color w:val="000000"/>
          <w:sz w:val="32"/>
          <w:szCs w:val="32"/>
          <w:lang w:val="en-US" w:eastAsia="zh-CN"/>
        </w:rPr>
        <w:t>大</w:t>
      </w:r>
      <w:r>
        <w:rPr>
          <w:rFonts w:hint="eastAsia" w:ascii="仿宋_GB2312" w:eastAsia="仿宋_GB2312" w:cs="Times New Roman"/>
          <w:b w:val="0"/>
          <w:bCs w:val="0"/>
          <w:i w:val="0"/>
          <w:iCs w:val="0"/>
          <w:color w:val="000000"/>
          <w:sz w:val="32"/>
          <w:szCs w:val="32"/>
          <w:lang w:val="en-US" w:eastAsia="zh-CN"/>
        </w:rPr>
        <w:t>，全力</w:t>
      </w:r>
      <w:r>
        <w:rPr>
          <w:rFonts w:hint="default" w:ascii="仿宋_GB2312" w:eastAsia="仿宋_GB2312" w:cs="Times New Roman"/>
          <w:b w:val="0"/>
          <w:bCs w:val="0"/>
          <w:i w:val="0"/>
          <w:iCs w:val="0"/>
          <w:color w:val="000000"/>
          <w:sz w:val="32"/>
          <w:szCs w:val="32"/>
          <w:lang w:val="en-US" w:eastAsia="zh-CN"/>
        </w:rPr>
        <w:t>助</w:t>
      </w:r>
      <w:r>
        <w:rPr>
          <w:rFonts w:hint="eastAsia" w:ascii="仿宋_GB2312" w:eastAsia="仿宋_GB2312" w:cs="Times New Roman"/>
          <w:b w:val="0"/>
          <w:bCs w:val="0"/>
          <w:i w:val="0"/>
          <w:iCs w:val="0"/>
          <w:color w:val="000000"/>
          <w:sz w:val="32"/>
          <w:szCs w:val="32"/>
          <w:lang w:val="en-US" w:eastAsia="zh-CN"/>
        </w:rPr>
        <w:t>推传统优势产业转型升级，逐步扩大制造业中长期贷款、信用贷款规模，增加技改贷款，保持制造业贷款合理增速，实现制造业贷款户数稳定增长。引导银行在制造业聚集区设立特色支行，将企业技术、人才、市场前景等“软信息”纳入银行客户信用评价体系，在信贷审批、风险偏好等方面实施差异化管理。围绕重点产业集群，</w:t>
      </w:r>
      <w:r>
        <w:rPr>
          <w:rFonts w:hint="default" w:ascii="仿宋_GB2312" w:eastAsia="仿宋_GB2312" w:cs="Times New Roman"/>
          <w:b w:val="0"/>
          <w:bCs w:val="0"/>
          <w:i w:val="0"/>
          <w:iCs w:val="0"/>
          <w:color w:val="000000"/>
          <w:sz w:val="32"/>
          <w:szCs w:val="32"/>
          <w:lang w:val="en-US" w:eastAsia="zh-CN"/>
        </w:rPr>
        <w:t>发挥政府引导作用，通过政府性融资担保机构、政府投资基金、“园区＋金融”等渠道模式，</w:t>
      </w:r>
      <w:r>
        <w:rPr>
          <w:rFonts w:hint="eastAsia" w:ascii="仿宋_GB2312" w:eastAsia="仿宋_GB2312" w:cs="Times New Roman"/>
          <w:b w:val="0"/>
          <w:bCs w:val="0"/>
          <w:i w:val="0"/>
          <w:iCs w:val="0"/>
          <w:color w:val="000000"/>
          <w:sz w:val="32"/>
          <w:szCs w:val="32"/>
          <w:lang w:val="en-US" w:eastAsia="zh-CN"/>
        </w:rPr>
        <w:t>探索开展“集群快贷”等业务，</w:t>
      </w:r>
      <w:r>
        <w:rPr>
          <w:rFonts w:hint="default" w:ascii="仿宋_GB2312" w:eastAsia="仿宋_GB2312" w:cs="Times New Roman"/>
          <w:b w:val="0"/>
          <w:bCs w:val="0"/>
          <w:i w:val="0"/>
          <w:iCs w:val="0"/>
          <w:color w:val="000000"/>
          <w:sz w:val="32"/>
          <w:szCs w:val="32"/>
          <w:lang w:val="en-US" w:eastAsia="zh-CN"/>
        </w:rPr>
        <w:t>撬动金融资源加大对产业链、产业集群支持力度。</w:t>
      </w:r>
      <w:r>
        <w:rPr>
          <w:rFonts w:hint="eastAsia" w:ascii="仿宋_GB2312" w:eastAsia="仿宋_GB2312" w:cs="Times New Roman"/>
          <w:b w:val="0"/>
          <w:bCs w:val="0"/>
          <w:i w:val="0"/>
          <w:iCs w:val="0"/>
          <w:color w:val="000000"/>
          <w:sz w:val="32"/>
          <w:szCs w:val="32"/>
          <w:lang w:val="en-US" w:eastAsia="zh-CN"/>
        </w:rPr>
        <w:t>引导银行围绕产业链供应链核心企业，“一企一策”制定覆盖上下游小微企业的综合金融服务方案，有序发展面向上下游小微企业产业链金融服务。充分发挥财政资金引导示范作用，建立专精特新、瞪羚企业、单项冠军等优质企业贷款风险补偿金或贴息资金，</w:t>
      </w:r>
      <w:r>
        <w:rPr>
          <w:rFonts w:hint="default" w:ascii="仿宋_GB2312" w:eastAsia="仿宋_GB2312" w:cs="Times New Roman"/>
          <w:b w:val="0"/>
          <w:bCs w:val="0"/>
          <w:i w:val="0"/>
          <w:iCs w:val="0"/>
          <w:color w:val="000000"/>
          <w:sz w:val="32"/>
          <w:szCs w:val="32"/>
          <w:lang w:val="en-US" w:eastAsia="zh-CN"/>
        </w:rPr>
        <w:t>加大政府性融资担保支持力度</w:t>
      </w:r>
      <w:r>
        <w:rPr>
          <w:rFonts w:hint="eastAsia" w:ascii="仿宋_GB2312" w:eastAsia="仿宋_GB2312" w:cs="Times New Roman"/>
          <w:b w:val="0"/>
          <w:bCs w:val="0"/>
          <w:i w:val="0"/>
          <w:iCs w:val="0"/>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强化多元化融资体系。</w:t>
      </w:r>
      <w:r>
        <w:rPr>
          <w:rFonts w:hint="eastAsia" w:ascii="仿宋_GB2312" w:eastAsia="仿宋_GB2312" w:cs="Times New Roman"/>
          <w:b w:val="0"/>
          <w:bCs w:val="0"/>
          <w:i w:val="0"/>
          <w:iCs w:val="0"/>
          <w:color w:val="000000"/>
          <w:sz w:val="32"/>
          <w:szCs w:val="32"/>
          <w:lang w:val="en-US" w:eastAsia="zh-CN"/>
        </w:rPr>
        <w:t>积极引进对接创业投资基金、天使投资人等创业投资主体，助推种子期、初创期企业完成从科技研发到商业推广的成长。引进发展产业投资基金，鼓励引导产业投资基金投向先进制造业领域的重点项目、重点企业。完善上市扶持政策，加强上市后备企业尤其专精特新“小巨人”企业、制造业“单项冠军”“隐形冠军”等的培育。支持符合条件的龙头企业在银行间市场和交易所市场发行各类债券融资，支持辖区内注册的挂牌新三板企业发行双创公司债。鼓励设立或引进融资性租赁公司，充分发挥融资租赁业务支持企业融资与融物的双重功能，支持制造业企业实施设备更新改造和智能升级、扩大产品销售和出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s="Times New Roman"/>
          <w:b w:val="0"/>
          <w:bCs w:val="0"/>
          <w:i w:val="0"/>
          <w:iCs w:val="0"/>
          <w:color w:val="000000"/>
          <w:sz w:val="32"/>
          <w:szCs w:val="32"/>
          <w:lang w:val="en-US" w:eastAsia="zh-CN"/>
        </w:rPr>
      </w:pPr>
      <w:r>
        <w:rPr>
          <w:rFonts w:hint="default" w:ascii="仿宋_GB2312" w:eastAsia="仿宋_GB2312" w:cs="Times New Roman"/>
          <w:b/>
          <w:bCs/>
          <w:i w:val="0"/>
          <w:iCs w:val="0"/>
          <w:color w:val="000000"/>
          <w:sz w:val="32"/>
          <w:szCs w:val="32"/>
          <w:lang w:val="en-US" w:eastAsia="zh-CN"/>
        </w:rPr>
        <w:t>完善制造业保险服务。</w:t>
      </w:r>
      <w:r>
        <w:rPr>
          <w:rFonts w:hint="default" w:ascii="仿宋_GB2312" w:eastAsia="仿宋_GB2312" w:cs="Times New Roman"/>
          <w:b w:val="0"/>
          <w:bCs w:val="0"/>
          <w:i w:val="0"/>
          <w:iCs w:val="0"/>
          <w:color w:val="000000"/>
          <w:sz w:val="32"/>
          <w:szCs w:val="32"/>
          <w:lang w:val="en-US" w:eastAsia="zh-CN"/>
        </w:rPr>
        <w:t>加大制造业企业产品质量和产品责任保险推广力度，保障企业基础风险服务需求。争取保险资金通过债权、股权、保险私募基金、资产支持计划等方式，为制造业转型升级提供低成本稳定资金来源。</w:t>
      </w:r>
      <w:r>
        <w:rPr>
          <w:rFonts w:hint="eastAsia" w:ascii="仿宋_GB2312" w:eastAsia="仿宋_GB2312" w:cs="Times New Roman"/>
          <w:b w:val="0"/>
          <w:bCs w:val="0"/>
          <w:i w:val="0"/>
          <w:iCs w:val="0"/>
          <w:color w:val="000000"/>
          <w:sz w:val="32"/>
          <w:szCs w:val="32"/>
          <w:lang w:val="en-US" w:eastAsia="zh-CN"/>
        </w:rPr>
        <w:t>鼓励保险机构创新发展科技保险，</w:t>
      </w:r>
      <w:r>
        <w:rPr>
          <w:rFonts w:hint="default" w:ascii="Times New Roman" w:hAnsi="Times New Roman" w:eastAsia="仿宋_GB2312" w:cs="Times New Roman"/>
          <w:b w:val="0"/>
          <w:bCs w:val="0"/>
          <w:i w:val="0"/>
          <w:iCs w:val="0"/>
          <w:color w:val="000000"/>
          <w:sz w:val="32"/>
          <w:szCs w:val="32"/>
          <w:lang w:val="en-US" w:eastAsia="zh-CN"/>
        </w:rPr>
        <w:t>推进首台（套）技术装备保险，探索推动关键核心零部件、首批（次）新材料、首版（次）软件产品的质量保证保险和产品综合险</w:t>
      </w:r>
      <w:r>
        <w:rPr>
          <w:rFonts w:hint="eastAsia" w:ascii="仿宋_GB2312" w:eastAsia="仿宋_GB2312" w:cs="Times New Roman"/>
          <w:b w:val="0"/>
          <w:bCs w:val="0"/>
          <w:i w:val="0"/>
          <w:iCs w:val="0"/>
          <w:color w:val="000000"/>
          <w:sz w:val="32"/>
          <w:szCs w:val="32"/>
          <w:lang w:val="en-US" w:eastAsia="zh-CN"/>
        </w:rPr>
        <w:t>，为企业提供全方位支持。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rPr>
      </w:pPr>
      <w:r>
        <w:rPr>
          <w:rFonts w:hint="eastAsia" w:ascii="仿宋_GB2312" w:eastAsia="仿宋_GB2312" w:cs="Times New Roman"/>
          <w:b/>
          <w:bCs/>
          <w:i w:val="0"/>
          <w:iCs w:val="0"/>
          <w:color w:val="000000"/>
          <w:sz w:val="32"/>
          <w:szCs w:val="32"/>
          <w:lang w:val="en-US" w:eastAsia="zh-CN"/>
        </w:rPr>
        <w:t>支持制造业跨境贸易与融资。</w:t>
      </w:r>
      <w:r>
        <w:rPr>
          <w:rFonts w:hint="eastAsia" w:ascii="仿宋_GB2312" w:eastAsia="仿宋_GB2312" w:cs="Times New Roman"/>
          <w:b w:val="0"/>
          <w:bCs w:val="0"/>
          <w:i w:val="0"/>
          <w:iCs w:val="0"/>
          <w:color w:val="000000"/>
          <w:sz w:val="32"/>
          <w:szCs w:val="32"/>
          <w:lang w:val="en-US" w:eastAsia="zh-CN"/>
        </w:rPr>
        <w:t>落实山东自贸试验区、上合示范区等区域性金融政策，深化提高制造业企业在人民币跨境贸易结算、跨境投融资、经常项目外汇收支等方面便利化程度。引导银行为制造业企业提供跨境并购贷款和项目贷款、内保外贷等跨境金融服务，支持企业在全球范围布局产业链、供应链、价值链。加强与境外资本市场和金融中介机构合作，引导制造业企业通过在境外上市、发债、获得离岸人民币贷款等方式获得资金支持。完善对跨境电商的金融支持。</w:t>
      </w:r>
    </w:p>
    <w:tbl>
      <w:tblPr>
        <w:tblStyle w:val="20"/>
        <w:tblpPr w:leftFromText="180" w:rightFromText="180" w:vertAnchor="text" w:horzAnchor="page" w:tblpX="1701" w:tblpY="95"/>
        <w:tblOverlap w:val="never"/>
        <w:tblW w:w="8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8340" w:type="dxa"/>
            <w:tcBorders>
              <w:bottom w:val="single" w:color="auto" w:sz="4" w:space="0"/>
            </w:tcBorders>
          </w:tcPr>
          <w:p>
            <w:pPr>
              <w:keepNext/>
              <w:keepLines/>
              <w:widowControl w:val="0"/>
              <w:numPr>
                <w:ilvl w:val="0"/>
                <w:numId w:val="0"/>
              </w:numPr>
              <w:spacing w:before="0" w:after="0" w:line="560" w:lineRule="exact"/>
              <w:jc w:val="center"/>
              <w:outlineLvl w:val="0"/>
              <w:rPr>
                <w:rFonts w:hint="default" w:eastAsia="SimSun-ExtB"/>
                <w:sz w:val="28"/>
                <w:szCs w:val="28"/>
                <w:vertAlign w:val="baseline"/>
                <w:lang w:val="en-US" w:eastAsia="zh-CN"/>
              </w:rPr>
            </w:pPr>
            <w:r>
              <w:rPr>
                <w:rFonts w:hint="eastAsia" w:ascii="CESI楷体-GB2312" w:hAnsi="CESI楷体-GB2312" w:eastAsia="CESI楷体-GB2312" w:cs="CESI楷体-GB2312"/>
                <w:b w:val="0"/>
                <w:bCs w:val="0"/>
                <w:i w:val="0"/>
                <w:iCs w:val="0"/>
                <w:color w:val="000000"/>
                <w:sz w:val="28"/>
                <w:szCs w:val="28"/>
                <w:lang w:val="en-US" w:eastAsia="zh-CN"/>
              </w:rPr>
              <w:t>专栏3： 发展供应链金融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8340" w:type="dxa"/>
            <w:tcBorders>
              <w:top w:val="single" w:color="auto" w:sz="4" w:space="0"/>
              <w:left w:val="single" w:color="auto" w:sz="4" w:space="0"/>
              <w:bottom w:val="single" w:color="auto" w:sz="4" w:space="0"/>
              <w:right w:val="single" w:color="auto" w:sz="4" w:space="0"/>
            </w:tcBorders>
          </w:tcPr>
          <w:p>
            <w:pPr>
              <w:pStyle w:val="1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560" w:firstLineChars="200"/>
              <w:jc w:val="left"/>
              <w:rPr>
                <w:rFonts w:hint="eastAsia" w:ascii="仿宋_GB2312" w:eastAsia="仿宋_GB2312" w:cs="Times New Roman" w:hAnsiTheme="minorHAnsi"/>
                <w:b w:val="0"/>
                <w:bCs w:val="0"/>
                <w:i w:val="0"/>
                <w:iCs w:val="0"/>
                <w:color w:val="000000"/>
                <w:kern w:val="0"/>
                <w:sz w:val="28"/>
                <w:szCs w:val="28"/>
                <w:lang w:val="en-US" w:eastAsia="zh-CN" w:bidi="ar"/>
              </w:rPr>
            </w:pPr>
            <w:r>
              <w:rPr>
                <w:rFonts w:hint="eastAsia" w:ascii="仿宋_GB2312" w:eastAsia="仿宋_GB2312" w:cs="Times New Roman" w:hAnsiTheme="minorHAnsi"/>
                <w:b w:val="0"/>
                <w:bCs w:val="0"/>
                <w:i w:val="0"/>
                <w:iCs w:val="0"/>
                <w:color w:val="000000"/>
                <w:kern w:val="0"/>
                <w:sz w:val="28"/>
                <w:szCs w:val="28"/>
                <w:lang w:val="en-US" w:eastAsia="zh-CN" w:bidi="ar"/>
              </w:rPr>
              <w:t>1.开辟服务绿色通道。鼓励金融机构及时响应先进制造业等关键领域核心企业融资需求，综合运用各类金融产品服务，支持核心企业提高融资能力和流动性管理水平，畅通和稳定上下游产业链条。</w:t>
            </w:r>
          </w:p>
          <w:p>
            <w:pPr>
              <w:pStyle w:val="1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560" w:firstLineChars="200"/>
              <w:jc w:val="left"/>
              <w:rPr>
                <w:rFonts w:hint="eastAsia" w:ascii="仿宋_GB2312" w:eastAsia="仿宋_GB2312" w:cs="Times New Roman" w:hAnsiTheme="minorHAnsi"/>
                <w:b w:val="0"/>
                <w:bCs w:val="0"/>
                <w:i w:val="0"/>
                <w:iCs w:val="0"/>
                <w:color w:val="000000"/>
                <w:kern w:val="0"/>
                <w:sz w:val="28"/>
                <w:szCs w:val="28"/>
                <w:lang w:val="en-US" w:eastAsia="zh-CN" w:bidi="ar"/>
              </w:rPr>
            </w:pPr>
            <w:r>
              <w:rPr>
                <w:rFonts w:hint="eastAsia" w:ascii="仿宋_GB2312" w:eastAsia="仿宋_GB2312" w:cs="Times New Roman" w:hAnsiTheme="minorHAnsi"/>
                <w:b w:val="0"/>
                <w:bCs w:val="0"/>
                <w:i w:val="0"/>
                <w:iCs w:val="0"/>
                <w:color w:val="000000"/>
                <w:kern w:val="0"/>
                <w:sz w:val="28"/>
                <w:szCs w:val="28"/>
                <w:lang w:val="en-US" w:eastAsia="zh-CN" w:bidi="ar"/>
              </w:rPr>
              <w:t>2.提高金融服务水平。鼓励金融机构积极对接应收账款融资服务平台、人民银行认可的供应链票据平台等第三方供应链平台，支持核心企业签发供应链票据。鼓励金融机构依法合规发展企业应收账款、存货、仓单等权利质押贷款，</w:t>
            </w:r>
            <w:r>
              <w:rPr>
                <w:rFonts w:hint="default" w:ascii="仿宋_GB2312" w:eastAsia="仿宋_GB2312" w:cs="Times New Roman" w:hAnsiTheme="minorHAnsi"/>
                <w:b w:val="0"/>
                <w:bCs w:val="0"/>
                <w:i w:val="0"/>
                <w:iCs w:val="0"/>
                <w:color w:val="000000"/>
                <w:kern w:val="0"/>
                <w:sz w:val="28"/>
                <w:szCs w:val="28"/>
                <w:lang w:val="en-US" w:eastAsia="zh-CN" w:bidi="ar"/>
              </w:rPr>
              <w:t>推广供应链票据融资，探索推进营业中断保险、仓单财产保险等供应链金融产品</w:t>
            </w:r>
            <w:r>
              <w:rPr>
                <w:rFonts w:hint="eastAsia" w:ascii="仿宋_GB2312" w:eastAsia="仿宋_GB2312" w:cs="Times New Roman" w:hAnsiTheme="minorHAnsi"/>
                <w:b w:val="0"/>
                <w:bCs w:val="0"/>
                <w:i w:val="0"/>
                <w:iCs w:val="0"/>
                <w:color w:val="000000"/>
                <w:kern w:val="0"/>
                <w:sz w:val="28"/>
                <w:szCs w:val="28"/>
                <w:lang w:val="en-US" w:eastAsia="zh-CN" w:bidi="ar"/>
              </w:rPr>
              <w:t>。</w:t>
            </w:r>
          </w:p>
          <w:p>
            <w:pPr>
              <w:ind w:firstLine="560" w:firstLineChars="200"/>
              <w:rPr>
                <w:rFonts w:hint="default" w:eastAsia="宋体"/>
                <w:sz w:val="28"/>
                <w:szCs w:val="28"/>
                <w:lang w:val="en-US" w:eastAsia="zh-CN"/>
              </w:rPr>
            </w:pPr>
            <w:r>
              <w:rPr>
                <w:rFonts w:hint="eastAsia" w:ascii="仿宋_GB2312" w:eastAsia="仿宋_GB2312" w:cs="Times New Roman" w:hAnsiTheme="minorHAnsi"/>
                <w:b w:val="0"/>
                <w:bCs w:val="0"/>
                <w:i w:val="0"/>
                <w:iCs w:val="0"/>
                <w:color w:val="000000"/>
                <w:kern w:val="0"/>
                <w:sz w:val="28"/>
                <w:szCs w:val="28"/>
                <w:lang w:val="en-US" w:eastAsia="zh-CN" w:bidi="ar"/>
              </w:rPr>
              <w:t>3.建立产业链金融顾问制度。遴选对相关产业研究深入、经验丰富且业务精湛的金融从业人员组建金融顾问团队，全方位、“一对一”服务，为产业链现代化发展提供结算、融资、财务管理等综合解决方案。</w:t>
            </w:r>
          </w:p>
        </w:tc>
      </w:tr>
    </w:tbl>
    <w:p>
      <w:pPr>
        <w:keepNext/>
        <w:keepLines/>
        <w:pageBreakBefore w:val="0"/>
        <w:widowControl w:val="0"/>
        <w:numPr>
          <w:ilvl w:val="0"/>
          <w:numId w:val="0"/>
        </w:numPr>
        <w:kinsoku/>
        <w:wordWrap/>
        <w:overflowPunct/>
        <w:topLinePunct w:val="0"/>
        <w:autoSpaceDE/>
        <w:autoSpaceDN/>
        <w:bidi w:val="0"/>
        <w:adjustRightInd/>
        <w:snapToGrid/>
        <w:spacing w:before="0" w:after="0" w:line="600" w:lineRule="exact"/>
        <w:jc w:val="center"/>
        <w:textAlignment w:val="auto"/>
        <w:outlineLvl w:val="0"/>
        <w:rPr>
          <w:rFonts w:hint="eastAsia" w:ascii="黑体" w:hAnsi="黑体" w:eastAsia="黑体" w:cs="黑体"/>
          <w:b w:val="0"/>
          <w:bCs w:val="0"/>
          <w:snapToGrid w:val="0"/>
          <w:kern w:val="0"/>
          <w:sz w:val="32"/>
          <w:szCs w:val="32"/>
          <w:lang w:val="en-US" w:eastAsia="zh-CN" w:bidi="ar-SA"/>
        </w:rPr>
      </w:pPr>
    </w:p>
    <w:p>
      <w:pPr>
        <w:keepNext/>
        <w:keepLines/>
        <w:pageBreakBefore w:val="0"/>
        <w:widowControl w:val="0"/>
        <w:numPr>
          <w:ilvl w:val="0"/>
          <w:numId w:val="5"/>
        </w:numPr>
        <w:kinsoku/>
        <w:wordWrap/>
        <w:overflowPunct/>
        <w:topLinePunct w:val="0"/>
        <w:autoSpaceDE/>
        <w:autoSpaceDN/>
        <w:bidi w:val="0"/>
        <w:adjustRightInd/>
        <w:snapToGrid/>
        <w:spacing w:before="0" w:after="0" w:line="600" w:lineRule="exact"/>
        <w:ind w:left="0" w:leftChars="0" w:firstLine="0" w:firstLineChars="0"/>
        <w:jc w:val="center"/>
        <w:textAlignment w:val="auto"/>
        <w:outlineLvl w:val="0"/>
        <w:rPr>
          <w:rFonts w:hint="eastAsia" w:ascii="黑体" w:hAnsi="黑体" w:eastAsia="黑体" w:cs="黑体"/>
          <w:b w:val="0"/>
          <w:bCs w:val="0"/>
          <w:snapToGrid w:val="0"/>
          <w:kern w:val="0"/>
          <w:sz w:val="32"/>
          <w:szCs w:val="32"/>
          <w:lang w:val="en-US" w:eastAsia="zh-CN" w:bidi="ar-SA"/>
        </w:rPr>
      </w:pPr>
      <w:r>
        <w:rPr>
          <w:rFonts w:hint="eastAsia" w:ascii="黑体" w:hAnsi="黑体" w:eastAsia="黑体" w:cs="黑体"/>
          <w:b w:val="0"/>
          <w:bCs w:val="0"/>
          <w:snapToGrid w:val="0"/>
          <w:kern w:val="0"/>
          <w:sz w:val="32"/>
          <w:szCs w:val="32"/>
          <w:lang w:val="en-US" w:eastAsia="zh-CN" w:bidi="ar-SA"/>
        </w:rPr>
        <w:t xml:space="preserve"> </w:t>
      </w:r>
      <w:bookmarkStart w:id="62" w:name="_Toc1830006441_WPSOffice_Level2"/>
      <w:r>
        <w:rPr>
          <w:rFonts w:hint="eastAsia" w:ascii="CESI黑体-GB2312" w:hAnsi="CESI黑体-GB2312" w:eastAsia="CESI黑体-GB2312" w:cs="CESI黑体-GB2312"/>
          <w:sz w:val="32"/>
          <w:szCs w:val="32"/>
          <w:lang w:eastAsia="zh-CN"/>
        </w:rPr>
        <w:t>培育</w:t>
      </w:r>
      <w:r>
        <w:rPr>
          <w:rFonts w:hint="eastAsia" w:ascii="CESI黑体-GB2312" w:hAnsi="CESI黑体-GB2312" w:eastAsia="CESI黑体-GB2312" w:cs="CESI黑体-GB2312"/>
          <w:sz w:val="32"/>
          <w:szCs w:val="32"/>
        </w:rPr>
        <w:t>金融支持科创</w:t>
      </w:r>
      <w:r>
        <w:rPr>
          <w:rFonts w:hint="eastAsia" w:ascii="CESI黑体-GB2312" w:hAnsi="CESI黑体-GB2312" w:eastAsia="CESI黑体-GB2312" w:cs="CESI黑体-GB2312"/>
          <w:sz w:val="32"/>
          <w:szCs w:val="32"/>
          <w:lang w:eastAsia="zh-CN"/>
        </w:rPr>
        <w:t>发展</w:t>
      </w:r>
      <w:r>
        <w:rPr>
          <w:rFonts w:hint="eastAsia" w:ascii="CESI黑体-GB2312" w:hAnsi="CESI黑体-GB2312" w:eastAsia="CESI黑体-GB2312" w:cs="CESI黑体-GB2312"/>
          <w:sz w:val="32"/>
          <w:szCs w:val="32"/>
        </w:rPr>
        <w:t>新</w:t>
      </w:r>
      <w:r>
        <w:rPr>
          <w:rFonts w:hint="eastAsia" w:ascii="CESI黑体-GB2312" w:hAnsi="CESI黑体-GB2312" w:eastAsia="CESI黑体-GB2312" w:cs="CESI黑体-GB2312"/>
          <w:sz w:val="32"/>
          <w:szCs w:val="32"/>
          <w:lang w:eastAsia="zh-CN"/>
        </w:rPr>
        <w:t>动能</w:t>
      </w:r>
      <w:bookmarkEnd w:id="62"/>
    </w:p>
    <w:p>
      <w:pPr>
        <w:pStyle w:val="5"/>
        <w:numPr>
          <w:ilvl w:val="0"/>
          <w:numId w:val="0"/>
        </w:numPr>
        <w:ind w:leftChars="0"/>
        <w:rPr>
          <w:rFonts w:hint="eastAsia"/>
          <w:lang w:val="en-US" w:eastAsia="zh-CN"/>
        </w:rPr>
      </w:pP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CESI仿宋-GB2312" w:hAnsi="CESI仿宋-GB2312" w:eastAsia="CESI仿宋-GB2312" w:cs="CESI仿宋-GB2312"/>
          <w:b w:val="0"/>
          <w:bCs w:val="0"/>
          <w:snapToGrid w:val="0"/>
          <w:kern w:val="0"/>
          <w:sz w:val="32"/>
          <w:szCs w:val="32"/>
          <w:lang w:val="en-US" w:eastAsia="zh-CN" w:bidi="ar-SA"/>
        </w:rPr>
      </w:pPr>
      <w:r>
        <w:rPr>
          <w:rFonts w:hint="eastAsia" w:ascii="CESI仿宋-GB2312" w:hAnsi="CESI仿宋-GB2312" w:eastAsia="CESI仿宋-GB2312" w:cs="CESI仿宋-GB2312"/>
          <w:b w:val="0"/>
          <w:bCs w:val="0"/>
          <w:snapToGrid w:val="0"/>
          <w:kern w:val="0"/>
          <w:sz w:val="32"/>
          <w:szCs w:val="32"/>
          <w:lang w:val="en-US" w:eastAsia="zh-CN" w:bidi="ar-SA"/>
        </w:rPr>
        <w:t>遵循科技创新企业成长规律，完善科创金融服务体系、</w:t>
      </w:r>
      <w:r>
        <w:rPr>
          <w:rFonts w:hint="default" w:ascii="CESI仿宋-GB2312" w:hAnsi="CESI仿宋-GB2312" w:eastAsia="CESI仿宋-GB2312" w:cs="CESI仿宋-GB2312"/>
          <w:b w:val="0"/>
          <w:bCs w:val="0"/>
          <w:snapToGrid w:val="0"/>
          <w:kern w:val="0"/>
          <w:sz w:val="32"/>
          <w:szCs w:val="32"/>
          <w:lang w:val="en-US" w:eastAsia="zh-CN" w:bidi="ar-SA"/>
        </w:rPr>
        <w:t>创新科技金融产品和服务，</w:t>
      </w:r>
      <w:r>
        <w:rPr>
          <w:rFonts w:hint="eastAsia" w:ascii="CESI仿宋-GB2312" w:hAnsi="CESI仿宋-GB2312" w:eastAsia="CESI仿宋-GB2312" w:cs="CESI仿宋-GB2312"/>
          <w:b w:val="0"/>
          <w:bCs w:val="0"/>
          <w:snapToGrid w:val="0"/>
          <w:kern w:val="0"/>
          <w:sz w:val="32"/>
          <w:szCs w:val="32"/>
          <w:lang w:val="en-US" w:eastAsia="zh-CN" w:bidi="ar-SA"/>
        </w:rPr>
        <w:t>推动科创企业加快上市，</w:t>
      </w:r>
      <w:r>
        <w:rPr>
          <w:rFonts w:hint="default" w:ascii="CESI仿宋-GB2312" w:hAnsi="CESI仿宋-GB2312" w:eastAsia="CESI仿宋-GB2312" w:cs="CESI仿宋-GB2312"/>
          <w:b w:val="0"/>
          <w:bCs w:val="0"/>
          <w:snapToGrid w:val="0"/>
          <w:kern w:val="0"/>
          <w:sz w:val="32"/>
          <w:szCs w:val="32"/>
          <w:lang w:val="en-US" w:eastAsia="zh-CN" w:bidi="ar-SA"/>
        </w:rPr>
        <w:t>建立适应科技创新全生命周期需求的金融</w:t>
      </w:r>
      <w:r>
        <w:rPr>
          <w:rFonts w:hint="eastAsia" w:ascii="CESI仿宋-GB2312" w:hAnsi="CESI仿宋-GB2312" w:eastAsia="CESI仿宋-GB2312" w:cs="CESI仿宋-GB2312"/>
          <w:b w:val="0"/>
          <w:bCs w:val="0"/>
          <w:snapToGrid w:val="0"/>
          <w:kern w:val="0"/>
          <w:sz w:val="32"/>
          <w:szCs w:val="32"/>
          <w:lang w:val="en-US" w:eastAsia="zh-CN" w:bidi="ar-SA"/>
        </w:rPr>
        <w:t>供给</w:t>
      </w:r>
      <w:r>
        <w:rPr>
          <w:rFonts w:hint="default" w:ascii="CESI仿宋-GB2312" w:hAnsi="CESI仿宋-GB2312" w:eastAsia="CESI仿宋-GB2312" w:cs="CESI仿宋-GB2312"/>
          <w:b w:val="0"/>
          <w:bCs w:val="0"/>
          <w:snapToGrid w:val="0"/>
          <w:kern w:val="0"/>
          <w:sz w:val="32"/>
          <w:szCs w:val="32"/>
          <w:lang w:val="en-US" w:eastAsia="zh-CN" w:bidi="ar-SA"/>
        </w:rPr>
        <w:t>体系。</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CESI仿宋-GB2312" w:hAnsi="CESI仿宋-GB2312" w:eastAsia="CESI仿宋-GB2312" w:cs="CESI仿宋-GB2312"/>
          <w:b w:val="0"/>
          <w:bCs w:val="0"/>
          <w:snapToGrid w:val="0"/>
          <w:kern w:val="0"/>
          <w:sz w:val="32"/>
          <w:szCs w:val="32"/>
          <w:lang w:val="en-US" w:eastAsia="zh-CN" w:bidi="ar-SA"/>
        </w:rPr>
      </w:pPr>
      <w:r>
        <w:rPr>
          <w:rFonts w:hint="eastAsia" w:ascii="CESI仿宋-GB2312" w:hAnsi="CESI仿宋-GB2312" w:eastAsia="CESI仿宋-GB2312" w:cs="CESI仿宋-GB2312"/>
          <w:b/>
          <w:bCs/>
          <w:snapToGrid w:val="0"/>
          <w:kern w:val="0"/>
          <w:sz w:val="32"/>
          <w:szCs w:val="32"/>
          <w:lang w:val="en-US" w:eastAsia="zh-CN" w:bidi="ar-SA"/>
        </w:rPr>
        <w:t>改革金融机构内部机制。</w:t>
      </w:r>
      <w:r>
        <w:rPr>
          <w:rFonts w:hint="eastAsia" w:ascii="CESI仿宋-GB2312" w:hAnsi="CESI仿宋-GB2312" w:eastAsia="CESI仿宋-GB2312" w:cs="CESI仿宋-GB2312"/>
          <w:b w:val="0"/>
          <w:bCs w:val="0"/>
          <w:snapToGrid w:val="0"/>
          <w:kern w:val="0"/>
          <w:sz w:val="32"/>
          <w:szCs w:val="32"/>
          <w:lang w:val="en-US" w:eastAsia="zh-CN" w:bidi="ar-SA"/>
        </w:rPr>
        <w:t>鼓励在开发区、高新区等科技资源禀赋较好地区设立科技支行等科技专营机构，强化授权赋能创新，发挥专业化优势。引导金融机构调整授信政策、改革风控机制及绩效考核和激励机制，加强科创型金融人才的培养，完善和落实尽职免责制度，从内部机制上解决对科创企业“不敢投（贷、保）、不愿投（贷、保）”问题。</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CESI仿宋-GB2312" w:hAnsi="CESI仿宋-GB2312" w:eastAsia="CESI仿宋-GB2312" w:cs="CESI仿宋-GB2312"/>
          <w:b w:val="0"/>
          <w:bCs w:val="0"/>
          <w:snapToGrid w:val="0"/>
          <w:kern w:val="0"/>
          <w:sz w:val="32"/>
          <w:szCs w:val="32"/>
          <w:lang w:val="en-US" w:eastAsia="zh-CN" w:bidi="ar-SA"/>
        </w:rPr>
      </w:pPr>
      <w:r>
        <w:rPr>
          <w:rFonts w:hint="eastAsia" w:ascii="CESI仿宋-GB2312" w:hAnsi="CESI仿宋-GB2312" w:eastAsia="CESI仿宋-GB2312" w:cs="CESI仿宋-GB2312"/>
          <w:b/>
          <w:bCs/>
          <w:snapToGrid w:val="0"/>
          <w:kern w:val="0"/>
          <w:sz w:val="32"/>
          <w:szCs w:val="32"/>
          <w:lang w:val="en-US" w:eastAsia="zh-CN" w:bidi="ar-SA"/>
        </w:rPr>
        <w:t>强化资本市场功能运用。</w:t>
      </w:r>
      <w:r>
        <w:rPr>
          <w:rFonts w:hint="eastAsia" w:ascii="CESI仿宋-GB2312" w:hAnsi="CESI仿宋-GB2312" w:eastAsia="CESI仿宋-GB2312" w:cs="CESI仿宋-GB2312"/>
          <w:b w:val="0"/>
          <w:bCs w:val="0"/>
          <w:snapToGrid w:val="0"/>
          <w:kern w:val="0"/>
          <w:sz w:val="32"/>
          <w:szCs w:val="32"/>
          <w:lang w:val="en-US" w:eastAsia="zh-CN" w:bidi="ar-SA"/>
        </w:rPr>
        <w:t>将科创企业纳入市上市后备企业，为其提供全链条、系统化培育指导，推动符合国家战略、拥有关键核心技术、科技创新能力突出的企业和创新创业创意企业到科创板、创业板、新三板精选层挂牌上市。鼓励符合条件的科创企业通过“双创债”等债券工具，实现低成本、高效率融资。</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CESI仿宋-GB2312" w:hAnsi="CESI仿宋-GB2312" w:eastAsia="CESI仿宋-GB2312" w:cs="CESI仿宋-GB2312"/>
          <w:b w:val="0"/>
          <w:bCs w:val="0"/>
          <w:snapToGrid w:val="0"/>
          <w:kern w:val="0"/>
          <w:sz w:val="32"/>
          <w:szCs w:val="32"/>
          <w:lang w:val="en-US" w:eastAsia="zh-CN" w:bidi="ar-SA"/>
        </w:rPr>
      </w:pPr>
      <w:r>
        <w:rPr>
          <w:rFonts w:hint="eastAsia" w:ascii="CESI仿宋-GB2312" w:hAnsi="CESI仿宋-GB2312" w:eastAsia="CESI仿宋-GB2312" w:cs="CESI仿宋-GB2312"/>
          <w:b/>
          <w:bCs/>
          <w:snapToGrid w:val="0"/>
          <w:kern w:val="0"/>
          <w:sz w:val="32"/>
          <w:szCs w:val="32"/>
          <w:lang w:val="en-US" w:eastAsia="zh-CN" w:bidi="ar-SA"/>
        </w:rPr>
        <w:t>优化升级现有人才服务金融产品。</w:t>
      </w:r>
      <w:r>
        <w:rPr>
          <w:rFonts w:hint="eastAsia" w:ascii="CESI仿宋-GB2312" w:hAnsi="CESI仿宋-GB2312" w:eastAsia="CESI仿宋-GB2312" w:cs="CESI仿宋-GB2312"/>
          <w:b w:val="0"/>
          <w:bCs w:val="0"/>
          <w:snapToGrid w:val="0"/>
          <w:kern w:val="0"/>
          <w:sz w:val="32"/>
          <w:szCs w:val="32"/>
          <w:lang w:val="en-US" w:eastAsia="zh-CN" w:bidi="ar-SA"/>
        </w:rPr>
        <w:t>针对科创型企业以“人”为中心，智力密集型的特点，建立完善“人才贷”、落实“人才保”等政策，对接区域股权市场人才板，解决高层次人才创业后顾之忧，激发创新创业热情。</w:t>
      </w:r>
    </w:p>
    <w:p>
      <w:pPr>
        <w:pStyle w:val="5"/>
        <w:keepNext/>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CESI仿宋-GB2312" w:hAnsi="CESI仿宋-GB2312" w:eastAsia="CESI仿宋-GB2312" w:cs="CESI仿宋-GB2312"/>
          <w:b w:val="0"/>
          <w:bCs w:val="0"/>
          <w:snapToGrid w:val="0"/>
          <w:kern w:val="0"/>
          <w:sz w:val="32"/>
          <w:szCs w:val="32"/>
          <w:lang w:val="en-US" w:eastAsia="zh-CN" w:bidi="ar-SA"/>
        </w:rPr>
      </w:pPr>
      <w:r>
        <w:rPr>
          <w:rFonts w:hint="eastAsia" w:ascii="CESI仿宋-GB2312" w:hAnsi="CESI仿宋-GB2312" w:eastAsia="CESI仿宋-GB2312" w:cs="CESI仿宋-GB2312"/>
          <w:b/>
          <w:bCs/>
          <w:snapToGrid w:val="0"/>
          <w:kern w:val="0"/>
          <w:sz w:val="32"/>
          <w:szCs w:val="32"/>
          <w:lang w:val="en-US" w:eastAsia="zh-CN" w:bidi="ar-SA"/>
        </w:rPr>
        <w:t>强化财政金融政策协同联动。</w:t>
      </w:r>
      <w:r>
        <w:rPr>
          <w:rFonts w:hint="eastAsia" w:ascii="CESI仿宋-GB2312" w:hAnsi="CESI仿宋-GB2312" w:eastAsia="CESI仿宋-GB2312" w:cs="CESI仿宋-GB2312"/>
          <w:b w:val="0"/>
          <w:bCs w:val="0"/>
          <w:snapToGrid w:val="0"/>
          <w:kern w:val="0"/>
          <w:sz w:val="32"/>
          <w:szCs w:val="32"/>
          <w:lang w:val="en-US" w:eastAsia="zh-CN" w:bidi="ar-SA"/>
        </w:rPr>
        <w:t>不断健全完善科技成果转化贷款、人才贷风险贷款贴息、风险补偿等政策工作，提高中小微科技企业信贷可得性、降低融资成本。逐步扩大聊城市高新技术企业信贷风险补偿资金池规模。</w:t>
      </w:r>
    </w:p>
    <w:p>
      <w:pPr>
        <w:pStyle w:val="5"/>
        <w:keepNext/>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b w:val="0"/>
          <w:bCs w:val="0"/>
          <w:snapToGrid w:val="0"/>
          <w:kern w:val="0"/>
          <w:sz w:val="32"/>
          <w:szCs w:val="32"/>
          <w:lang w:val="en-US" w:eastAsia="zh-CN" w:bidi="ar-SA"/>
        </w:rPr>
      </w:pPr>
      <w:r>
        <w:rPr>
          <w:rFonts w:hint="eastAsia" w:ascii="CESI仿宋-GB2312" w:hAnsi="CESI仿宋-GB2312" w:eastAsia="CESI仿宋-GB2312" w:cs="CESI仿宋-GB2312"/>
          <w:b w:val="0"/>
          <w:bCs w:val="0"/>
          <w:snapToGrid w:val="0"/>
          <w:kern w:val="0"/>
          <w:sz w:val="32"/>
          <w:szCs w:val="32"/>
          <w:lang w:val="en-US" w:eastAsia="zh-CN" w:bidi="ar-SA"/>
        </w:rPr>
        <w:t xml:space="preserve">      </w:t>
      </w:r>
    </w:p>
    <w:p>
      <w:pPr>
        <w:keepNext/>
        <w:keepLines/>
        <w:pageBreakBefore w:val="0"/>
        <w:widowControl w:val="0"/>
        <w:numPr>
          <w:ilvl w:val="0"/>
          <w:numId w:val="5"/>
        </w:numPr>
        <w:kinsoku/>
        <w:wordWrap/>
        <w:overflowPunct/>
        <w:topLinePunct w:val="0"/>
        <w:autoSpaceDE/>
        <w:autoSpaceDN/>
        <w:bidi w:val="0"/>
        <w:adjustRightInd/>
        <w:snapToGrid/>
        <w:spacing w:before="0" w:after="0" w:line="600" w:lineRule="exact"/>
        <w:ind w:left="0" w:leftChars="0" w:firstLine="0" w:firstLineChars="0"/>
        <w:jc w:val="center"/>
        <w:textAlignment w:val="auto"/>
        <w:outlineLvl w:val="0"/>
        <w:rPr>
          <w:rFonts w:hint="eastAsia" w:ascii="黑体" w:hAnsi="黑体" w:eastAsia="黑体" w:cs="黑体"/>
          <w:b w:val="0"/>
          <w:bCs w:val="0"/>
          <w:snapToGrid w:val="0"/>
          <w:kern w:val="0"/>
          <w:sz w:val="32"/>
          <w:szCs w:val="32"/>
          <w:lang w:val="en-US" w:eastAsia="zh-CN" w:bidi="ar-SA"/>
        </w:rPr>
      </w:pPr>
      <w:r>
        <w:rPr>
          <w:rFonts w:hint="eastAsia" w:ascii="黑体" w:hAnsi="黑体" w:eastAsia="黑体" w:cs="黑体"/>
          <w:b w:val="0"/>
          <w:bCs w:val="0"/>
          <w:snapToGrid w:val="0"/>
          <w:kern w:val="0"/>
          <w:sz w:val="32"/>
          <w:szCs w:val="32"/>
          <w:lang w:val="en-US" w:eastAsia="zh-CN" w:bidi="ar-SA"/>
        </w:rPr>
        <w:t xml:space="preserve"> </w:t>
      </w:r>
      <w:bookmarkStart w:id="63" w:name="_Toc1974951631_WPSOffice_Level2"/>
      <w:r>
        <w:rPr>
          <w:rFonts w:hint="eastAsia" w:ascii="黑体" w:hAnsi="黑体" w:eastAsia="黑体" w:cs="黑体"/>
          <w:b w:val="0"/>
          <w:bCs w:val="0"/>
          <w:snapToGrid w:val="0"/>
          <w:kern w:val="0"/>
          <w:sz w:val="32"/>
          <w:szCs w:val="32"/>
          <w:lang w:val="en-US" w:eastAsia="zh-CN" w:bidi="ar-SA"/>
        </w:rPr>
        <w:t>建设金融支持乡村振兴新高地</w:t>
      </w:r>
      <w:bookmarkEnd w:id="63"/>
    </w:p>
    <w:p>
      <w:pPr>
        <w:pStyle w:val="5"/>
        <w:numPr>
          <w:ilvl w:val="0"/>
          <w:numId w:val="0"/>
        </w:numPr>
        <w:ind w:leftChars="0"/>
        <w:rPr>
          <w:rFonts w:hint="eastAsia"/>
          <w:lang w:val="en-US" w:eastAsia="zh-CN"/>
        </w:rPr>
      </w:pPr>
    </w:p>
    <w:p>
      <w:pPr>
        <w:keepNext/>
        <w:keepLines/>
        <w:pageBreakBefore w:val="0"/>
        <w:widowControl w:val="0"/>
        <w:numPr>
          <w:ilvl w:val="0"/>
          <w:numId w:val="0"/>
        </w:numPr>
        <w:kinsoku/>
        <w:wordWrap/>
        <w:overflowPunct/>
        <w:topLinePunct w:val="0"/>
        <w:autoSpaceDE/>
        <w:autoSpaceDN/>
        <w:bidi w:val="0"/>
        <w:adjustRightInd/>
        <w:snapToGrid/>
        <w:spacing w:before="0" w:after="0" w:line="600" w:lineRule="exact"/>
        <w:ind w:firstLine="640" w:firstLineChars="200"/>
        <w:jc w:val="both"/>
        <w:textAlignment w:val="auto"/>
        <w:outlineLvl w:val="0"/>
        <w:rPr>
          <w:rFonts w:hint="eastAsia" w:ascii="仿宋_GB2312" w:eastAsia="仿宋_GB2312" w:cs="Times New Roman" w:hAnsiTheme="minorHAnsi"/>
          <w:i w:val="0"/>
          <w:iCs w:val="0"/>
          <w:color w:val="000000"/>
          <w:kern w:val="0"/>
          <w:sz w:val="32"/>
          <w:szCs w:val="32"/>
          <w:lang w:val="en" w:eastAsia="zh-CN" w:bidi="ar"/>
        </w:rPr>
      </w:pPr>
      <w:r>
        <w:rPr>
          <w:rFonts w:hint="eastAsia" w:ascii="仿宋_GB2312" w:eastAsia="仿宋_GB2312" w:cs="Times New Roman" w:hAnsiTheme="minorHAnsi"/>
          <w:i w:val="0"/>
          <w:iCs w:val="0"/>
          <w:color w:val="000000"/>
          <w:kern w:val="0"/>
          <w:sz w:val="32"/>
          <w:szCs w:val="32"/>
          <w:lang w:val="en" w:eastAsia="zh-CN" w:bidi="ar"/>
        </w:rPr>
        <w:t>围绕巩固拓展脱贫攻坚成果同乡村振兴战略有效衔接，综合运用财政政策、信贷资源、资本市场、保险服务、担保增信等，引导更多金融资源配置到乡村产业振兴，有效改善涉农主体金融服务，发挥金融在乡村产业振兴中的服务保障作用。</w:t>
      </w:r>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仿宋_GB2312" w:eastAsia="仿宋_GB2312" w:cs="Times New Roman" w:hAnsiTheme="minorHAnsi"/>
          <w:i w:val="0"/>
          <w:iCs w:val="0"/>
          <w:color w:val="000000"/>
          <w:kern w:val="0"/>
          <w:sz w:val="32"/>
          <w:szCs w:val="32"/>
          <w:lang w:val="en" w:eastAsia="zh-CN" w:bidi="ar"/>
        </w:rPr>
      </w:pPr>
      <w:r>
        <w:rPr>
          <w:rFonts w:hint="eastAsia" w:ascii="仿宋_GB2312" w:eastAsia="仿宋_GB2312" w:cs="Times New Roman" w:hAnsiTheme="minorHAnsi"/>
          <w:b/>
          <w:bCs/>
          <w:i w:val="0"/>
          <w:iCs w:val="0"/>
          <w:color w:val="000000"/>
          <w:kern w:val="0"/>
          <w:sz w:val="32"/>
          <w:szCs w:val="32"/>
          <w:lang w:val="en" w:eastAsia="zh-CN" w:bidi="ar"/>
        </w:rPr>
        <w:t>打造差异化、特色化信贷服务体系</w:t>
      </w:r>
      <w:r>
        <w:rPr>
          <w:rFonts w:hint="default" w:ascii="仿宋_GB2312" w:eastAsia="仿宋_GB2312" w:cs="Times New Roman" w:hAnsiTheme="minorHAnsi"/>
          <w:b/>
          <w:bCs/>
          <w:i w:val="0"/>
          <w:iCs w:val="0"/>
          <w:color w:val="000000"/>
          <w:kern w:val="0"/>
          <w:sz w:val="32"/>
          <w:szCs w:val="32"/>
          <w:lang w:val="en" w:eastAsia="zh-CN" w:bidi="ar"/>
        </w:rPr>
        <w:t>。</w:t>
      </w:r>
      <w:r>
        <w:rPr>
          <w:rFonts w:hint="default" w:ascii="仿宋_GB2312" w:eastAsia="仿宋_GB2312" w:cs="Times New Roman" w:hAnsiTheme="minorHAnsi"/>
          <w:i w:val="0"/>
          <w:iCs w:val="0"/>
          <w:color w:val="000000"/>
          <w:kern w:val="0"/>
          <w:sz w:val="32"/>
          <w:szCs w:val="32"/>
          <w:lang w:val="en" w:eastAsia="zh-CN" w:bidi="ar"/>
        </w:rPr>
        <w:t>鼓励各银行坚守自身定位，按照错位竞争策略，找准支持乡村振兴的着力点。农业发展银行聊城分行要发挥农业政策性银行优势，重点为农村基础设施、农业产业化龙头企业提供中长期低利率贷款。农业银行聊城分行坚持面向“三农”的市场定位，创新专属金融产品和服务，确保乡村产业贷款增速高于全行县域贷款平均增速；邮政储蓄银行聊城分行要立足服务“三农”和小微企业，加大对农业农村各类主体的信贷支持；农商行发挥支农主力军作用，扩大对涉农主体的信贷投放；城商行加快县域机构布局，着力提高农村金融服务覆盖面和信贷渗透率；村镇银行强化支农支小，推动机构和服务向乡镇延伸，为涉农主体提供便捷高效的金融服务。</w:t>
      </w:r>
    </w:p>
    <w:p>
      <w:pPr>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s="Times New Roman" w:hAnsiTheme="minorHAnsi"/>
          <w:i w:val="0"/>
          <w:iCs w:val="0"/>
          <w:color w:val="000000"/>
          <w:kern w:val="0"/>
          <w:sz w:val="32"/>
          <w:szCs w:val="32"/>
          <w:lang w:val="en-US" w:eastAsia="zh-CN" w:bidi="ar"/>
        </w:rPr>
      </w:pPr>
      <w:r>
        <w:rPr>
          <w:rFonts w:hint="default" w:ascii="仿宋_GB2312" w:eastAsia="仿宋_GB2312" w:cs="Times New Roman" w:hAnsiTheme="minorHAnsi"/>
          <w:b/>
          <w:bCs/>
          <w:i w:val="0"/>
          <w:iCs w:val="0"/>
          <w:color w:val="000000"/>
          <w:kern w:val="0"/>
          <w:sz w:val="32"/>
          <w:szCs w:val="32"/>
          <w:lang w:val="en" w:eastAsia="zh-CN" w:bidi="ar"/>
        </w:rPr>
        <w:t>强化乡村振兴信贷支持。</w:t>
      </w:r>
      <w:r>
        <w:rPr>
          <w:rFonts w:hint="default" w:ascii="仿宋_GB2312" w:eastAsia="仿宋_GB2312" w:cs="Times New Roman" w:hAnsiTheme="minorHAnsi"/>
          <w:i w:val="0"/>
          <w:iCs w:val="0"/>
          <w:color w:val="000000"/>
          <w:kern w:val="0"/>
          <w:sz w:val="32"/>
          <w:szCs w:val="32"/>
          <w:lang w:val="en" w:eastAsia="zh-CN" w:bidi="ar"/>
        </w:rPr>
        <w:t>做好金融服务政策衔接，进一步完善针对脱贫人口的小额信贷政策，保持信贷扶持政策连续性。推进涉农金融机构积极对接“一村一品”示范镇，立足各地资源禀赋、产业特色，精准化开发金融专属产品，支持新型农业经营主体和农村新产业新业态发展。</w:t>
      </w:r>
      <w:r>
        <w:rPr>
          <w:rFonts w:hint="eastAsia" w:ascii="仿宋_GB2312" w:eastAsia="仿宋_GB2312" w:cs="Times New Roman" w:hAnsiTheme="minorHAnsi"/>
          <w:i w:val="0"/>
          <w:iCs w:val="0"/>
          <w:color w:val="000000"/>
          <w:kern w:val="0"/>
          <w:sz w:val="32"/>
          <w:szCs w:val="32"/>
          <w:lang w:val="en-US" w:eastAsia="zh-CN" w:bidi="ar"/>
        </w:rPr>
        <w:t>根据农村电子商务发展趋势、经营特点、融资需求</w:t>
      </w:r>
      <w:r>
        <w:rPr>
          <w:rFonts w:hint="default" w:ascii="仿宋_GB2312" w:eastAsia="仿宋_GB2312" w:cs="Times New Roman" w:hAnsiTheme="minorHAnsi"/>
          <w:i w:val="0"/>
          <w:iCs w:val="0"/>
          <w:color w:val="000000"/>
          <w:kern w:val="0"/>
          <w:sz w:val="32"/>
          <w:szCs w:val="32"/>
          <w:lang w:val="en" w:eastAsia="zh-CN" w:bidi="ar"/>
        </w:rPr>
        <w:t>，</w:t>
      </w:r>
      <w:r>
        <w:rPr>
          <w:rFonts w:hint="eastAsia" w:ascii="仿宋_GB2312" w:eastAsia="仿宋_GB2312" w:cs="Times New Roman" w:hAnsiTheme="minorHAnsi"/>
          <w:i w:val="0"/>
          <w:iCs w:val="0"/>
          <w:color w:val="000000"/>
          <w:kern w:val="0"/>
          <w:sz w:val="32"/>
          <w:szCs w:val="32"/>
          <w:lang w:val="en-US" w:eastAsia="zh-CN" w:bidi="ar"/>
        </w:rPr>
        <w:t>在风险可控的前提下，推出适合电子商务发展多元化、差别化的信贷品种。</w:t>
      </w:r>
      <w:r>
        <w:rPr>
          <w:rFonts w:hint="default" w:ascii="仿宋_GB2312" w:eastAsia="仿宋_GB2312" w:cs="Times New Roman" w:hAnsiTheme="minorHAnsi"/>
          <w:i w:val="0"/>
          <w:iCs w:val="0"/>
          <w:color w:val="000000"/>
          <w:kern w:val="0"/>
          <w:sz w:val="32"/>
          <w:szCs w:val="32"/>
          <w:lang w:val="en" w:eastAsia="zh-CN" w:bidi="ar"/>
        </w:rPr>
        <w:t>推动农村数字金融创新，引导银行机构运用“大数据+人工智能”，发展线上信贷、场景金融和智慧平台。推进“三农”领域抵质押物“价值重置”，推动银行机构全面开展农村承包土地经营权抵押贷款业务，促进农村集体资产股权质押贷款试点扩面增量。提升聊城农村产权综合性交易平台功能，提供交易鉴证、定价评估、产权流转、抵押融资、不良资产处置等综合性服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s="Times New Roman" w:hAnsiTheme="minorHAnsi"/>
          <w:i w:val="0"/>
          <w:iCs w:val="0"/>
          <w:color w:val="000000"/>
          <w:kern w:val="0"/>
          <w:sz w:val="32"/>
          <w:szCs w:val="32"/>
          <w:lang w:val="en-US" w:eastAsia="zh-CN" w:bidi="ar"/>
        </w:rPr>
      </w:pPr>
      <w:r>
        <w:rPr>
          <w:rFonts w:hint="eastAsia" w:ascii="仿宋_GB2312" w:eastAsia="仿宋_GB2312" w:cs="Times New Roman" w:hAnsiTheme="minorHAnsi"/>
          <w:b/>
          <w:bCs/>
          <w:i w:val="0"/>
          <w:iCs w:val="0"/>
          <w:color w:val="000000"/>
          <w:kern w:val="0"/>
          <w:sz w:val="32"/>
          <w:szCs w:val="32"/>
          <w:lang w:val="en" w:eastAsia="zh-CN" w:bidi="ar"/>
        </w:rPr>
        <w:t>提高涉农保险保障水平。</w:t>
      </w:r>
      <w:r>
        <w:rPr>
          <w:rFonts w:hint="default" w:ascii="仿宋_GB2312" w:eastAsia="仿宋_GB2312" w:cs="Times New Roman" w:hAnsiTheme="minorHAnsi"/>
          <w:i w:val="0"/>
          <w:iCs w:val="0"/>
          <w:color w:val="000000"/>
          <w:kern w:val="0"/>
          <w:sz w:val="32"/>
          <w:szCs w:val="32"/>
          <w:lang w:val="en" w:eastAsia="zh-CN" w:bidi="ar"/>
        </w:rPr>
        <w:t>健全符合我市农业发展特点的支持保护政策体系和农村金融服务体系。推动农业保险“扩面增品提</w:t>
      </w:r>
      <w:r>
        <w:rPr>
          <w:rFonts w:hint="default" w:ascii="仿宋_GB2312" w:eastAsia="仿宋_GB2312" w:cs="Times New Roman" w:hAnsiTheme="minorHAnsi"/>
          <w:i w:val="0"/>
          <w:iCs w:val="0"/>
          <w:color w:val="000000"/>
          <w:kern w:val="0"/>
          <w:sz w:val="32"/>
          <w:szCs w:val="32"/>
          <w:highlight w:val="none"/>
          <w:lang w:val="en" w:eastAsia="zh-CN" w:bidi="ar"/>
        </w:rPr>
        <w:t>标”，</w:t>
      </w:r>
      <w:r>
        <w:rPr>
          <w:rFonts w:hint="eastAsia" w:ascii="仿宋_GB2312" w:eastAsia="仿宋_GB2312" w:cs="Times New Roman"/>
          <w:i w:val="0"/>
          <w:iCs w:val="0"/>
          <w:color w:val="000000"/>
          <w:kern w:val="0"/>
          <w:sz w:val="32"/>
          <w:szCs w:val="32"/>
          <w:highlight w:val="none"/>
          <w:lang w:val="en" w:eastAsia="zh-CN" w:bidi="ar"/>
        </w:rPr>
        <w:t>开展小麦、玉米完全成本保险，积极</w:t>
      </w:r>
      <w:r>
        <w:rPr>
          <w:rFonts w:hint="default" w:ascii="仿宋_GB2312" w:hAnsi="Calibri" w:eastAsia="仿宋_GB2312" w:cs="Times New Roman"/>
          <w:i w:val="0"/>
          <w:iCs w:val="0"/>
          <w:color w:val="000000"/>
          <w:kern w:val="0"/>
          <w:sz w:val="32"/>
          <w:szCs w:val="32"/>
          <w:highlight w:val="none"/>
          <w:lang w:val="en" w:eastAsia="zh-CN" w:bidi="ar"/>
        </w:rPr>
        <w:t>发展大棚瓜菜</w:t>
      </w:r>
      <w:r>
        <w:rPr>
          <w:rFonts w:hint="default" w:ascii="仿宋_GB2312" w:hAnsi="Calibri" w:eastAsia="仿宋_GB2312" w:cs="Times New Roman"/>
          <w:i w:val="0"/>
          <w:iCs w:val="0"/>
          <w:color w:val="000000"/>
          <w:kern w:val="0"/>
          <w:sz w:val="32"/>
          <w:szCs w:val="32"/>
          <w:lang w:val="en" w:eastAsia="zh-CN" w:bidi="ar"/>
        </w:rPr>
        <w:t>保险等地方优势特色保险产品。</w:t>
      </w:r>
      <w:r>
        <w:rPr>
          <w:rFonts w:hint="default" w:ascii="仿宋_GB2312" w:eastAsia="仿宋_GB2312" w:cs="Times New Roman" w:hAnsiTheme="minorHAnsi"/>
          <w:i w:val="0"/>
          <w:iCs w:val="0"/>
          <w:color w:val="000000"/>
          <w:kern w:val="0"/>
          <w:sz w:val="32"/>
          <w:szCs w:val="32"/>
          <w:lang w:val="en" w:eastAsia="zh-CN" w:bidi="ar"/>
        </w:rPr>
        <w:t>提升农村地区人身保险发展水平，发展面向低收入人群的普惠保险；鼓励发展针对县域居民的健康险业务，扩大健康险在县域地区的覆盖范围。探索开展“农业保险＋”模式，推进农业保险与信贷、担保、期货（权）等金融工具联动。</w:t>
      </w:r>
    </w:p>
    <w:p>
      <w:pPr>
        <w:pageBreakBefore w:val="0"/>
        <w:kinsoku/>
        <w:wordWrap/>
        <w:overflowPunct/>
        <w:topLinePunct w:val="0"/>
        <w:autoSpaceDE/>
        <w:autoSpaceDN/>
        <w:bidi w:val="0"/>
        <w:adjustRightInd/>
        <w:snapToGrid/>
        <w:spacing w:line="600" w:lineRule="exact"/>
        <w:ind w:firstLine="643" w:firstLineChars="200"/>
        <w:textAlignment w:val="auto"/>
        <w:rPr>
          <w:rFonts w:hint="default" w:ascii="仿宋_GB2312" w:eastAsia="仿宋_GB2312" w:cs="Times New Roman" w:hAnsiTheme="minorHAnsi"/>
          <w:i w:val="0"/>
          <w:iCs w:val="0"/>
          <w:color w:val="000000"/>
          <w:kern w:val="0"/>
          <w:sz w:val="32"/>
          <w:szCs w:val="32"/>
          <w:lang w:val="en" w:eastAsia="zh-CN" w:bidi="ar"/>
        </w:rPr>
      </w:pPr>
      <w:r>
        <w:rPr>
          <w:rFonts w:hint="default" w:ascii="仿宋_GB2312" w:eastAsia="仿宋_GB2312" w:cs="Times New Roman" w:hAnsiTheme="minorHAnsi"/>
          <w:b/>
          <w:bCs/>
          <w:i w:val="0"/>
          <w:iCs w:val="0"/>
          <w:color w:val="000000"/>
          <w:kern w:val="0"/>
          <w:sz w:val="32"/>
          <w:szCs w:val="32"/>
          <w:lang w:val="en" w:eastAsia="zh-CN" w:bidi="ar"/>
        </w:rPr>
        <w:t>培育优质涉农上市资源</w:t>
      </w:r>
      <w:r>
        <w:rPr>
          <w:rFonts w:hint="eastAsia" w:ascii="仿宋_GB2312" w:eastAsia="仿宋_GB2312" w:cs="Times New Roman" w:hAnsiTheme="minorHAnsi"/>
          <w:b/>
          <w:bCs/>
          <w:i w:val="0"/>
          <w:iCs w:val="0"/>
          <w:color w:val="000000"/>
          <w:kern w:val="0"/>
          <w:sz w:val="32"/>
          <w:szCs w:val="32"/>
          <w:lang w:val="en-US" w:eastAsia="zh-CN" w:bidi="ar"/>
        </w:rPr>
        <w:t>。</w:t>
      </w:r>
      <w:r>
        <w:rPr>
          <w:rFonts w:hint="default" w:ascii="仿宋_GB2312" w:eastAsia="仿宋_GB2312" w:cs="Times New Roman" w:hAnsiTheme="minorHAnsi"/>
          <w:i w:val="0"/>
          <w:iCs w:val="0"/>
          <w:color w:val="000000"/>
          <w:kern w:val="0"/>
          <w:sz w:val="32"/>
          <w:szCs w:val="32"/>
          <w:lang w:val="en" w:eastAsia="zh-CN" w:bidi="ar"/>
        </w:rPr>
        <w:t>积极将优质涉农企业纳入省上市后备企业资源库，加强培训培育，支持其在主板、创业板以及新三板等上市挂牌融资。</w:t>
      </w:r>
    </w:p>
    <w:p>
      <w:pPr>
        <w:pStyle w:val="5"/>
        <w:rPr>
          <w:rFonts w:hint="default"/>
          <w:lang w:val="en" w:eastAsia="zh-CN"/>
        </w:rPr>
      </w:pPr>
    </w:p>
    <w:p>
      <w:pPr>
        <w:keepNext/>
        <w:keepLines/>
        <w:pageBreakBefore w:val="0"/>
        <w:widowControl w:val="0"/>
        <w:numPr>
          <w:ilvl w:val="0"/>
          <w:numId w:val="5"/>
        </w:numPr>
        <w:kinsoku/>
        <w:wordWrap/>
        <w:overflowPunct/>
        <w:topLinePunct w:val="0"/>
        <w:autoSpaceDE/>
        <w:autoSpaceDN/>
        <w:bidi w:val="0"/>
        <w:adjustRightInd/>
        <w:snapToGrid/>
        <w:spacing w:before="0" w:after="0" w:line="600" w:lineRule="exact"/>
        <w:ind w:left="0" w:leftChars="0" w:firstLine="0" w:firstLineChars="0"/>
        <w:jc w:val="center"/>
        <w:textAlignment w:val="auto"/>
        <w:outlineLvl w:val="0"/>
        <w:rPr>
          <w:rFonts w:hint="eastAsia" w:ascii="黑体" w:hAnsi="黑体" w:eastAsia="黑体" w:cs="黑体"/>
          <w:b w:val="0"/>
          <w:bCs w:val="0"/>
          <w:snapToGrid w:val="0"/>
          <w:kern w:val="0"/>
          <w:sz w:val="32"/>
          <w:szCs w:val="32"/>
          <w:lang w:val="en-US" w:eastAsia="zh-CN" w:bidi="ar-SA"/>
        </w:rPr>
      </w:pPr>
      <w:r>
        <w:rPr>
          <w:rFonts w:hint="eastAsia" w:ascii="黑体" w:hAnsi="黑体" w:eastAsia="黑体" w:cs="黑体"/>
          <w:b w:val="0"/>
          <w:bCs w:val="0"/>
          <w:snapToGrid w:val="0"/>
          <w:kern w:val="0"/>
          <w:sz w:val="32"/>
          <w:szCs w:val="32"/>
          <w:lang w:val="en-US" w:eastAsia="zh-CN" w:bidi="ar-SA"/>
        </w:rPr>
        <w:t xml:space="preserve"> </w:t>
      </w:r>
      <w:bookmarkStart w:id="64" w:name="_Toc1304114400_WPSOffice_Level2"/>
      <w:r>
        <w:rPr>
          <w:rFonts w:hint="eastAsia" w:ascii="CESI黑体-GB2312" w:hAnsi="CESI黑体-GB2312" w:eastAsia="CESI黑体-GB2312" w:cs="CESI黑体-GB2312"/>
          <w:b w:val="0"/>
          <w:bCs w:val="0"/>
          <w:sz w:val="32"/>
          <w:szCs w:val="32"/>
        </w:rPr>
        <w:t>打造金融</w:t>
      </w:r>
      <w:r>
        <w:rPr>
          <w:rFonts w:hint="eastAsia" w:ascii="CESI黑体-GB2312" w:hAnsi="CESI黑体-GB2312" w:eastAsia="CESI黑体-GB2312" w:cs="CESI黑体-GB2312"/>
          <w:b w:val="0"/>
          <w:bCs w:val="0"/>
          <w:sz w:val="32"/>
          <w:szCs w:val="32"/>
          <w:lang w:eastAsia="zh-CN"/>
        </w:rPr>
        <w:t>支持</w:t>
      </w:r>
      <w:r>
        <w:rPr>
          <w:rFonts w:hint="eastAsia" w:ascii="CESI黑体-GB2312" w:hAnsi="CESI黑体-GB2312" w:eastAsia="CESI黑体-GB2312" w:cs="CESI黑体-GB2312"/>
          <w:b w:val="0"/>
          <w:bCs w:val="0"/>
          <w:sz w:val="32"/>
          <w:szCs w:val="32"/>
        </w:rPr>
        <w:t>普惠</w:t>
      </w:r>
      <w:r>
        <w:rPr>
          <w:rFonts w:hint="eastAsia" w:ascii="CESI黑体-GB2312" w:hAnsi="CESI黑体-GB2312" w:eastAsia="CESI黑体-GB2312" w:cs="CESI黑体-GB2312"/>
          <w:b w:val="0"/>
          <w:bCs w:val="0"/>
          <w:sz w:val="32"/>
          <w:szCs w:val="32"/>
          <w:lang w:eastAsia="zh-CN"/>
        </w:rPr>
        <w:t>小微服务</w:t>
      </w:r>
      <w:r>
        <w:rPr>
          <w:rFonts w:hint="eastAsia" w:ascii="CESI黑体-GB2312" w:hAnsi="CESI黑体-GB2312" w:eastAsia="CESI黑体-GB2312" w:cs="CESI黑体-GB2312"/>
          <w:b w:val="0"/>
          <w:bCs w:val="0"/>
          <w:sz w:val="32"/>
          <w:szCs w:val="32"/>
        </w:rPr>
        <w:t>新样板</w:t>
      </w:r>
      <w:bookmarkEnd w:id="64"/>
    </w:p>
    <w:p>
      <w:pPr>
        <w:pStyle w:val="5"/>
        <w:numPr>
          <w:ilvl w:val="0"/>
          <w:numId w:val="0"/>
        </w:numPr>
        <w:ind w:leftChars="0"/>
        <w:rPr>
          <w:rFonts w:hint="eastAsia"/>
          <w:lang w:val="en-US" w:eastAsia="zh-CN"/>
        </w:rPr>
      </w:pP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_GB2312" w:eastAsia="仿宋_GB2312" w:cs="Times New Roman" w:hAnsiTheme="minorHAnsi"/>
          <w:i w:val="0"/>
          <w:iCs w:val="0"/>
          <w:color w:val="000000"/>
          <w:kern w:val="0"/>
          <w:sz w:val="32"/>
          <w:szCs w:val="32"/>
          <w:lang w:val="en" w:eastAsia="zh-CN" w:bidi="ar"/>
        </w:rPr>
      </w:pPr>
      <w:r>
        <w:rPr>
          <w:rFonts w:hint="eastAsia" w:ascii="仿宋_GB2312" w:eastAsia="仿宋_GB2312" w:cs="Times New Roman" w:hAnsiTheme="minorHAnsi"/>
          <w:i w:val="0"/>
          <w:iCs w:val="0"/>
          <w:color w:val="000000"/>
          <w:kern w:val="0"/>
          <w:sz w:val="32"/>
          <w:szCs w:val="32"/>
          <w:lang w:val="en-US" w:eastAsia="zh-CN" w:bidi="ar"/>
        </w:rPr>
        <w:t>立足我市普惠金融发展基础优势，不断完善多元</w:t>
      </w:r>
      <w:r>
        <w:rPr>
          <w:rFonts w:hint="default" w:ascii="仿宋_GB2312" w:eastAsia="仿宋_GB2312" w:cs="Times New Roman" w:hAnsiTheme="minorHAnsi"/>
          <w:i w:val="0"/>
          <w:iCs w:val="0"/>
          <w:color w:val="000000"/>
          <w:kern w:val="0"/>
          <w:sz w:val="32"/>
          <w:szCs w:val="32"/>
          <w:lang w:val="en" w:eastAsia="zh-CN" w:bidi="ar"/>
        </w:rPr>
        <w:t>化</w:t>
      </w:r>
      <w:r>
        <w:rPr>
          <w:rFonts w:hint="eastAsia" w:ascii="仿宋_GB2312" w:eastAsia="仿宋_GB2312" w:cs="Times New Roman" w:hAnsiTheme="minorHAnsi"/>
          <w:i w:val="0"/>
          <w:iCs w:val="0"/>
          <w:color w:val="000000"/>
          <w:kern w:val="0"/>
          <w:sz w:val="32"/>
          <w:szCs w:val="32"/>
          <w:lang w:val="en-US" w:eastAsia="zh-CN" w:bidi="ar"/>
        </w:rPr>
        <w:t>金融供给体系，</w:t>
      </w:r>
      <w:r>
        <w:rPr>
          <w:rFonts w:hint="default" w:ascii="仿宋_GB2312" w:eastAsia="仿宋_GB2312" w:cs="Times New Roman" w:hAnsiTheme="minorHAnsi"/>
          <w:i w:val="0"/>
          <w:iCs w:val="0"/>
          <w:color w:val="000000"/>
          <w:kern w:val="0"/>
          <w:sz w:val="32"/>
          <w:szCs w:val="32"/>
          <w:lang w:val="en" w:eastAsia="zh-CN" w:bidi="ar"/>
        </w:rPr>
        <w:t>创新金融服务产品</w:t>
      </w:r>
      <w:r>
        <w:rPr>
          <w:rFonts w:hint="eastAsia" w:ascii="仿宋_GB2312" w:eastAsia="仿宋_GB2312" w:cs="Times New Roman" w:hAnsiTheme="minorHAnsi"/>
          <w:i w:val="0"/>
          <w:iCs w:val="0"/>
          <w:color w:val="000000"/>
          <w:kern w:val="0"/>
          <w:sz w:val="32"/>
          <w:szCs w:val="32"/>
          <w:lang w:val="en-US" w:eastAsia="zh-CN" w:bidi="ar"/>
        </w:rPr>
        <w:t>，</w:t>
      </w:r>
      <w:r>
        <w:rPr>
          <w:rFonts w:hint="default" w:ascii="仿宋_GB2312" w:eastAsia="仿宋_GB2312" w:cs="Times New Roman" w:hAnsiTheme="minorHAnsi"/>
          <w:i w:val="0"/>
          <w:iCs w:val="0"/>
          <w:color w:val="000000"/>
          <w:kern w:val="0"/>
          <w:sz w:val="32"/>
          <w:szCs w:val="32"/>
          <w:lang w:val="en-US" w:eastAsia="zh-CN" w:bidi="ar"/>
        </w:rPr>
        <w:t>深化融资担保体系建设</w:t>
      </w:r>
      <w:r>
        <w:rPr>
          <w:rFonts w:hint="eastAsia" w:ascii="仿宋_GB2312" w:eastAsia="仿宋_GB2312" w:cs="Times New Roman" w:hAnsiTheme="minorHAnsi"/>
          <w:i w:val="0"/>
          <w:iCs w:val="0"/>
          <w:color w:val="000000"/>
          <w:kern w:val="0"/>
          <w:sz w:val="32"/>
          <w:szCs w:val="32"/>
          <w:lang w:val="en-US" w:eastAsia="zh-CN" w:bidi="ar"/>
        </w:rPr>
        <w:t>、</w:t>
      </w:r>
      <w:r>
        <w:rPr>
          <w:rFonts w:hint="default" w:ascii="仿宋_GB2312" w:eastAsia="仿宋_GB2312" w:cs="Times New Roman" w:hAnsiTheme="minorHAnsi"/>
          <w:i w:val="0"/>
          <w:iCs w:val="0"/>
          <w:color w:val="000000"/>
          <w:kern w:val="0"/>
          <w:sz w:val="32"/>
          <w:szCs w:val="32"/>
          <w:lang w:val="en-US" w:eastAsia="zh-CN" w:bidi="ar"/>
        </w:rPr>
        <w:t>优化政策环境</w:t>
      </w:r>
      <w:r>
        <w:rPr>
          <w:rFonts w:hint="eastAsia" w:ascii="仿宋_GB2312" w:eastAsia="仿宋_GB2312" w:cs="Times New Roman" w:hAnsiTheme="minorHAnsi"/>
          <w:i w:val="0"/>
          <w:iCs w:val="0"/>
          <w:color w:val="000000"/>
          <w:kern w:val="0"/>
          <w:sz w:val="32"/>
          <w:szCs w:val="32"/>
          <w:lang w:val="en-US" w:eastAsia="zh-CN" w:bidi="ar"/>
        </w:rPr>
        <w:t>，形成</w:t>
      </w:r>
      <w:r>
        <w:rPr>
          <w:rFonts w:hint="default" w:ascii="仿宋_GB2312" w:eastAsia="仿宋_GB2312" w:cs="Times New Roman" w:hAnsiTheme="minorHAnsi"/>
          <w:i w:val="0"/>
          <w:iCs w:val="0"/>
          <w:color w:val="000000"/>
          <w:kern w:val="0"/>
          <w:sz w:val="32"/>
          <w:szCs w:val="32"/>
          <w:lang w:val="en" w:eastAsia="zh-CN" w:bidi="ar"/>
        </w:rPr>
        <w:t>“批量化、低成本、高效率、可复制”的普惠金融服务模式</w:t>
      </w:r>
      <w:r>
        <w:rPr>
          <w:rFonts w:hint="eastAsia" w:ascii="仿宋_GB2312" w:eastAsia="仿宋_GB2312" w:cs="Times New Roman" w:hAnsiTheme="minorHAnsi"/>
          <w:i w:val="0"/>
          <w:iCs w:val="0"/>
          <w:color w:val="000000"/>
          <w:kern w:val="0"/>
          <w:sz w:val="32"/>
          <w:szCs w:val="32"/>
          <w:lang w:val="en-US" w:eastAsia="zh-CN" w:bidi="ar"/>
        </w:rPr>
        <w:t>，</w:t>
      </w:r>
      <w:r>
        <w:rPr>
          <w:rFonts w:hint="default" w:ascii="仿宋_GB2312" w:eastAsia="仿宋_GB2312" w:cs="Times New Roman" w:hAnsiTheme="minorHAnsi"/>
          <w:i w:val="0"/>
          <w:iCs w:val="0"/>
          <w:color w:val="000000"/>
          <w:kern w:val="0"/>
          <w:sz w:val="32"/>
          <w:szCs w:val="32"/>
          <w:lang w:val="en" w:eastAsia="zh-CN" w:bidi="ar"/>
        </w:rPr>
        <w:t>不断增强</w:t>
      </w:r>
      <w:r>
        <w:rPr>
          <w:rFonts w:hint="eastAsia" w:ascii="仿宋_GB2312" w:eastAsia="仿宋_GB2312" w:cs="Times New Roman" w:hAnsiTheme="minorHAnsi"/>
          <w:i w:val="0"/>
          <w:iCs w:val="0"/>
          <w:color w:val="000000"/>
          <w:kern w:val="0"/>
          <w:sz w:val="32"/>
          <w:szCs w:val="32"/>
          <w:lang w:val="en" w:eastAsia="zh-CN" w:bidi="ar"/>
        </w:rPr>
        <w:t>中小微企业及人民群众</w:t>
      </w:r>
      <w:r>
        <w:rPr>
          <w:rFonts w:hint="default" w:ascii="仿宋_GB2312" w:eastAsia="仿宋_GB2312" w:cs="Times New Roman" w:hAnsiTheme="minorHAnsi"/>
          <w:i w:val="0"/>
          <w:iCs w:val="0"/>
          <w:color w:val="000000"/>
          <w:kern w:val="0"/>
          <w:sz w:val="32"/>
          <w:szCs w:val="32"/>
          <w:lang w:val="en" w:eastAsia="zh-CN" w:bidi="ar"/>
        </w:rPr>
        <w:t>金融服务获得感，有效助力共同富裕目标实现。</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eastAsia="仿宋_GB2312" w:cs="Times New Roman" w:hAnsiTheme="minorHAnsi"/>
          <w:i w:val="0"/>
          <w:iCs w:val="0"/>
          <w:color w:val="000000"/>
          <w:kern w:val="0"/>
          <w:sz w:val="32"/>
          <w:szCs w:val="32"/>
          <w:lang w:val="en-US" w:eastAsia="zh-CN" w:bidi="ar"/>
        </w:rPr>
      </w:pPr>
      <w:r>
        <w:rPr>
          <w:rFonts w:hint="eastAsia" w:ascii="仿宋_GB2312" w:eastAsia="仿宋_GB2312" w:cs="Times New Roman" w:hAnsiTheme="minorHAnsi"/>
          <w:b/>
          <w:bCs/>
          <w:i w:val="0"/>
          <w:iCs w:val="0"/>
          <w:color w:val="000000"/>
          <w:kern w:val="0"/>
          <w:sz w:val="32"/>
          <w:szCs w:val="32"/>
          <w:lang w:val="en-US" w:eastAsia="zh-CN" w:bidi="ar"/>
        </w:rPr>
        <w:t>优化提升普惠信贷服务质效。</w:t>
      </w:r>
      <w:r>
        <w:rPr>
          <w:rFonts w:hint="eastAsia" w:ascii="仿宋_GB2312" w:eastAsia="仿宋_GB2312" w:cs="Times New Roman" w:hAnsiTheme="minorHAnsi"/>
          <w:i w:val="0"/>
          <w:iCs w:val="0"/>
          <w:color w:val="000000"/>
          <w:kern w:val="0"/>
          <w:sz w:val="32"/>
          <w:szCs w:val="32"/>
          <w:lang w:val="en-US" w:eastAsia="zh-CN" w:bidi="ar"/>
        </w:rPr>
        <w:t>引导银行机构延伸服务半径，通过下沉网点、提供无接触服务等方式，构建灵活直达、精准高效的普惠金融服务体系。</w:t>
      </w:r>
      <w:r>
        <w:rPr>
          <w:rFonts w:hint="default" w:ascii="仿宋_GB2312" w:eastAsia="仿宋_GB2312" w:cs="Times New Roman" w:hAnsiTheme="minorHAnsi"/>
          <w:i w:val="0"/>
          <w:iCs w:val="0"/>
          <w:color w:val="000000"/>
          <w:kern w:val="0"/>
          <w:sz w:val="32"/>
          <w:szCs w:val="32"/>
          <w:lang w:val="en" w:eastAsia="zh-CN" w:bidi="ar"/>
        </w:rPr>
        <w:t>督促银行机构特别是法人机构完善内部绩效考核评价机制和信贷资源配置，增加小微企业客户服务情况考核权重，改进贷款尽职免责内部认定标准和流程。</w:t>
      </w:r>
      <w:r>
        <w:rPr>
          <w:rFonts w:hint="eastAsia" w:ascii="仿宋_GB2312" w:eastAsia="仿宋_GB2312" w:cs="Times New Roman" w:hAnsiTheme="minorHAnsi"/>
          <w:i w:val="0"/>
          <w:iCs w:val="0"/>
          <w:color w:val="000000"/>
          <w:kern w:val="0"/>
          <w:sz w:val="32"/>
          <w:szCs w:val="32"/>
          <w:lang w:val="en" w:eastAsia="zh-CN" w:bidi="ar"/>
        </w:rPr>
        <w:t>深化金融辅导、首贷培植工作，为企业提供定制化化、精准化服务。</w:t>
      </w:r>
      <w:r>
        <w:rPr>
          <w:rFonts w:hint="eastAsia" w:ascii="仿宋_GB2312" w:eastAsia="仿宋_GB2312" w:cs="Times New Roman" w:hAnsiTheme="minorHAnsi"/>
          <w:i w:val="0"/>
          <w:iCs w:val="0"/>
          <w:color w:val="000000"/>
          <w:kern w:val="0"/>
          <w:sz w:val="32"/>
          <w:szCs w:val="32"/>
          <w:lang w:val="en-US" w:eastAsia="zh-CN" w:bidi="ar"/>
        </w:rPr>
        <w:t>发挥抵质押价值重置机制作用，完善“银税互动”平台功能，落实无还本续贷政策，增加应急贷、信用贷、首贷、循环贷、中长期贷款投放，形成多层次、有差异、广覆盖的金融产品体系，确保普惠型金融小微贷款投放持续稳定增长。规范银行信贷融资收费，推动银行机构在信贷环节取消部分涉企收费项目和不合理条件，在助贷环节明确收费事项、加强对第三方机构的管理，在增信环节合理引入增信安排。综合采取财政奖补、贴息、保费补贴等引导措施，降低民营经济和小微企业贷款综合成本，力争民营企业和普惠型小微企业贷款综合成本逐年下降和保持在合理水平。</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仿宋_GB2312" w:eastAsia="仿宋_GB2312" w:cs="Times New Roman" w:hAnsiTheme="minorHAnsi"/>
          <w:i w:val="0"/>
          <w:iCs w:val="0"/>
          <w:color w:val="000000"/>
          <w:kern w:val="0"/>
          <w:sz w:val="32"/>
          <w:szCs w:val="32"/>
          <w:lang w:val="en-US" w:eastAsia="zh-CN" w:bidi="ar"/>
        </w:rPr>
      </w:pPr>
      <w:r>
        <w:rPr>
          <w:rFonts w:hint="eastAsia" w:ascii="仿宋_GB2312" w:eastAsia="仿宋_GB2312" w:cs="Times New Roman" w:hAnsiTheme="minorHAnsi"/>
          <w:b/>
          <w:bCs/>
          <w:i w:val="0"/>
          <w:iCs w:val="0"/>
          <w:color w:val="000000"/>
          <w:kern w:val="0"/>
          <w:sz w:val="32"/>
          <w:szCs w:val="32"/>
          <w:lang w:val="en-US" w:eastAsia="zh-CN" w:bidi="ar"/>
        </w:rPr>
        <w:t>大力发展数字普惠金融。</w:t>
      </w:r>
      <w:r>
        <w:rPr>
          <w:rFonts w:hint="eastAsia" w:ascii="仿宋_GB2312" w:eastAsia="仿宋_GB2312" w:cs="Times New Roman" w:hAnsiTheme="minorHAnsi"/>
          <w:i w:val="0"/>
          <w:iCs w:val="0"/>
          <w:color w:val="000000"/>
          <w:kern w:val="0"/>
          <w:sz w:val="32"/>
          <w:szCs w:val="32"/>
          <w:lang w:val="en-US" w:eastAsia="zh-CN" w:bidi="ar"/>
        </w:rPr>
        <w:t>构建数字化金融服务渠道，引导金融机构借助移动金融、情景感知等手段将金融服务与民生应用场景结合，利用大数据、云计算等现代数字科技，定向、精准适配中小微企业融资需求和融资服务,以较低成本将金融服务下沉到大量分散的小微企业等普惠群体。加快数字化金融平台建设，加快征信数据与金融创新相结合，推进智慧金融服务平台功能迭代升级，以解决政银企信息不对称为目标，加速企业信息数据对接，有效打通金融机构和企业间的信息壁垒。鼓励金融机构充分利用大数据、人工智能等加速风险控制智能化，技术手段优化风险定价模型，建立小微企业、科创企业等重点群体信用评估模型，科学高效控制风险。</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eastAsia="仿宋_GB2312" w:cs="Times New Roman" w:hAnsiTheme="minorHAnsi"/>
          <w:i w:val="0"/>
          <w:iCs w:val="0"/>
          <w:color w:val="000000"/>
          <w:kern w:val="0"/>
          <w:sz w:val="32"/>
          <w:szCs w:val="32"/>
          <w:lang w:val="en-US" w:eastAsia="zh-CN" w:bidi="ar"/>
        </w:rPr>
      </w:pP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eastAsia="仿宋_GB2312" w:cs="Times New Roman" w:hAnsiTheme="minorHAnsi"/>
          <w:i w:val="0"/>
          <w:iCs w:val="0"/>
          <w:color w:val="000000"/>
          <w:kern w:val="0"/>
          <w:sz w:val="32"/>
          <w:szCs w:val="32"/>
          <w:lang w:val="en-US" w:eastAsia="zh-CN" w:bidi="ar"/>
        </w:rPr>
      </w:pPr>
    </w:p>
    <w:tbl>
      <w:tblPr>
        <w:tblStyle w:val="20"/>
        <w:tblW w:w="8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8660" w:type="dxa"/>
          </w:tcPr>
          <w:p>
            <w:pPr>
              <w:pStyle w:val="18"/>
              <w:keepNext w:val="0"/>
              <w:keepLines w:val="0"/>
              <w:widowControl/>
              <w:suppressLineNumbers w:val="0"/>
              <w:spacing w:before="0" w:beforeAutospacing="0" w:after="0" w:afterAutospacing="0"/>
              <w:ind w:right="0"/>
              <w:jc w:val="center"/>
              <w:rPr>
                <w:rFonts w:hint="eastAsia" w:ascii="仿宋_GB2312" w:eastAsia="仿宋_GB2312" w:cs="Times New Roman" w:hAnsiTheme="minorHAnsi"/>
                <w:i w:val="0"/>
                <w:iCs w:val="0"/>
                <w:color w:val="000000"/>
                <w:kern w:val="0"/>
                <w:sz w:val="28"/>
                <w:szCs w:val="28"/>
                <w:vertAlign w:val="baseline"/>
                <w:lang w:val="en-US" w:eastAsia="zh-CN" w:bidi="ar"/>
              </w:rPr>
            </w:pPr>
            <w:r>
              <w:rPr>
                <w:rFonts w:hint="eastAsia" w:ascii="CESI楷体-GB2312" w:hAnsi="CESI楷体-GB2312" w:eastAsia="CESI楷体-GB2312" w:cs="CESI楷体-GB2312"/>
                <w:b w:val="0"/>
                <w:bCs w:val="0"/>
                <w:i w:val="0"/>
                <w:iCs w:val="0"/>
                <w:color w:val="000000"/>
                <w:kern w:val="2"/>
                <w:sz w:val="28"/>
                <w:szCs w:val="28"/>
                <w:lang w:val="en-US" w:eastAsia="zh-CN" w:bidi="ar-SA"/>
              </w:rPr>
              <w:t>专栏4   聊城市智慧金融服务平台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4" w:hRule="atLeast"/>
        </w:trPr>
        <w:tc>
          <w:tcPr>
            <w:tcW w:w="8660" w:type="dxa"/>
          </w:tcPr>
          <w:p>
            <w:pPr>
              <w:pageBreakBefore w:val="0"/>
              <w:widowControl/>
              <w:kinsoku/>
              <w:wordWrap/>
              <w:overflowPunct/>
              <w:topLinePunct w:val="0"/>
              <w:autoSpaceDE/>
              <w:autoSpaceDN/>
              <w:bidi w:val="0"/>
              <w:spacing w:line="560" w:lineRule="exact"/>
              <w:ind w:firstLine="560" w:firstLineChars="200"/>
              <w:textAlignment w:val="auto"/>
              <w:rPr>
                <w:rFonts w:hint="eastAsia" w:ascii="仿宋_GB2312" w:eastAsia="仿宋_GB2312" w:cs="Times New Roman" w:hAnsiTheme="minorHAnsi"/>
                <w:i w:val="0"/>
                <w:iCs w:val="0"/>
                <w:color w:val="000000"/>
                <w:kern w:val="0"/>
                <w:sz w:val="28"/>
                <w:szCs w:val="28"/>
                <w:lang w:val="en-US" w:eastAsia="zh-CN" w:bidi="ar"/>
              </w:rPr>
            </w:pPr>
            <w:r>
              <w:rPr>
                <w:rFonts w:hint="eastAsia" w:ascii="仿宋_GB2312" w:eastAsia="仿宋_GB2312" w:cs="Times New Roman" w:hAnsiTheme="minorHAnsi"/>
                <w:i w:val="0"/>
                <w:iCs w:val="0"/>
                <w:color w:val="000000"/>
                <w:kern w:val="0"/>
                <w:sz w:val="28"/>
                <w:szCs w:val="28"/>
                <w:lang w:val="en-US" w:eastAsia="zh-CN" w:bidi="ar"/>
              </w:rPr>
              <w:t>聊城市智慧金融服务平台是由聊城市财信</w:t>
            </w:r>
            <w:r>
              <w:rPr>
                <w:rFonts w:hint="eastAsia" w:ascii="仿宋_GB2312" w:eastAsia="仿宋_GB2312" w:cs="Times New Roman"/>
                <w:i w:val="0"/>
                <w:iCs w:val="0"/>
                <w:color w:val="000000"/>
                <w:kern w:val="0"/>
                <w:sz w:val="28"/>
                <w:szCs w:val="28"/>
                <w:lang w:val="en-US" w:eastAsia="zh-CN" w:bidi="ar"/>
              </w:rPr>
              <w:t>投资控股集团</w:t>
            </w:r>
            <w:r>
              <w:rPr>
                <w:rFonts w:hint="eastAsia" w:ascii="仿宋_GB2312" w:eastAsia="仿宋_GB2312" w:cs="Times New Roman" w:hAnsiTheme="minorHAnsi"/>
                <w:i w:val="0"/>
                <w:iCs w:val="0"/>
                <w:color w:val="000000"/>
                <w:kern w:val="0"/>
                <w:sz w:val="28"/>
                <w:szCs w:val="28"/>
                <w:lang w:val="en-US" w:eastAsia="zh-CN" w:bidi="ar"/>
              </w:rPr>
              <w:t>有限公司负责运营的综合性金融服务平台。平台运作采用“政府推动、企业主导、市场运作”的模式，力在实现企业需求与金融资源的无缝对接。</w:t>
            </w:r>
          </w:p>
          <w:p>
            <w:pPr>
              <w:pageBreakBefore w:val="0"/>
              <w:widowControl/>
              <w:kinsoku/>
              <w:wordWrap/>
              <w:overflowPunct/>
              <w:topLinePunct w:val="0"/>
              <w:autoSpaceDE/>
              <w:autoSpaceDN/>
              <w:bidi w:val="0"/>
              <w:spacing w:line="560" w:lineRule="exact"/>
              <w:ind w:firstLine="560" w:firstLineChars="200"/>
              <w:textAlignment w:val="auto"/>
              <w:rPr>
                <w:rFonts w:hint="eastAsia" w:ascii="仿宋_GB2312" w:eastAsia="仿宋_GB2312" w:cs="Times New Roman" w:hAnsiTheme="minorHAnsi"/>
                <w:i w:val="0"/>
                <w:iCs w:val="0"/>
                <w:color w:val="000000"/>
                <w:kern w:val="0"/>
                <w:sz w:val="28"/>
                <w:szCs w:val="28"/>
                <w:lang w:val="en-US" w:eastAsia="zh-CN" w:bidi="ar"/>
              </w:rPr>
            </w:pPr>
            <w:r>
              <w:rPr>
                <w:rFonts w:hint="eastAsia" w:ascii="仿宋_GB2312" w:eastAsia="仿宋_GB2312" w:cs="Times New Roman" w:hAnsiTheme="minorHAnsi"/>
                <w:i w:val="0"/>
                <w:iCs w:val="0"/>
                <w:color w:val="000000"/>
                <w:kern w:val="0"/>
                <w:sz w:val="28"/>
                <w:szCs w:val="28"/>
                <w:lang w:val="en-US" w:eastAsia="zh-CN" w:bidi="ar"/>
              </w:rPr>
              <w:t>1.“一键式”融资供需对接。企业注册后可发布个性化融资需求，平台基于企业画像和评估结果，向企业智能推荐适合的金融产品和金融政策，实现“千人千面”的专业化服务；企业也可像网购一样挑选适合自己的金融产品，快速与金融机构对接，降低融资成本。</w:t>
            </w:r>
          </w:p>
          <w:p>
            <w:pPr>
              <w:pageBreakBefore w:val="0"/>
              <w:widowControl/>
              <w:kinsoku/>
              <w:wordWrap/>
              <w:overflowPunct/>
              <w:topLinePunct w:val="0"/>
              <w:autoSpaceDE/>
              <w:autoSpaceDN/>
              <w:bidi w:val="0"/>
              <w:spacing w:line="560" w:lineRule="exact"/>
              <w:ind w:firstLine="560" w:firstLineChars="200"/>
              <w:textAlignment w:val="auto"/>
              <w:rPr>
                <w:rFonts w:hint="eastAsia" w:ascii="仿宋_GB2312" w:eastAsia="仿宋_GB2312" w:cs="Times New Roman" w:hAnsiTheme="minorHAnsi"/>
                <w:i w:val="0"/>
                <w:iCs w:val="0"/>
                <w:color w:val="000000"/>
                <w:kern w:val="0"/>
                <w:sz w:val="28"/>
                <w:szCs w:val="28"/>
                <w:lang w:val="en-US" w:eastAsia="zh-CN" w:bidi="ar"/>
              </w:rPr>
            </w:pPr>
            <w:r>
              <w:rPr>
                <w:rFonts w:hint="eastAsia" w:ascii="仿宋_GB2312" w:eastAsia="仿宋_GB2312" w:cs="Times New Roman" w:hAnsiTheme="minorHAnsi"/>
                <w:b w:val="0"/>
                <w:bCs w:val="0"/>
                <w:i w:val="0"/>
                <w:iCs w:val="0"/>
                <w:color w:val="000000"/>
                <w:kern w:val="0"/>
                <w:sz w:val="28"/>
                <w:szCs w:val="28"/>
                <w:lang w:val="en-US" w:eastAsia="zh-CN" w:bidi="ar"/>
              </w:rPr>
              <w:t>2.“一次性”查询企业信息。</w:t>
            </w:r>
            <w:r>
              <w:rPr>
                <w:rFonts w:hint="eastAsia" w:ascii="仿宋_GB2312" w:eastAsia="仿宋_GB2312" w:cs="Times New Roman" w:hAnsiTheme="minorHAnsi"/>
                <w:i w:val="0"/>
                <w:iCs w:val="0"/>
                <w:color w:val="000000"/>
                <w:kern w:val="0"/>
                <w:sz w:val="28"/>
                <w:szCs w:val="28"/>
                <w:lang w:val="en-US" w:eastAsia="zh-CN" w:bidi="ar"/>
              </w:rPr>
              <w:t>平台已汇集到11个政府部门63项政务数据、电力数据和互联网公开数据，通过模型脱敏加工，自动生成企业的评价报告，经充分授权后向金融机构开放应用；金融机构也可以依托以上数据资源，与平台联合开发定制化在线产品，满足特定群体融资需求，实现精准营销。</w:t>
            </w:r>
          </w:p>
          <w:p>
            <w:pPr>
              <w:pageBreakBefore w:val="0"/>
              <w:widowControl/>
              <w:kinsoku/>
              <w:wordWrap/>
              <w:overflowPunct/>
              <w:topLinePunct w:val="0"/>
              <w:autoSpaceDE/>
              <w:autoSpaceDN/>
              <w:bidi w:val="0"/>
              <w:spacing w:line="560" w:lineRule="exact"/>
              <w:ind w:firstLine="560" w:firstLineChars="200"/>
              <w:textAlignment w:val="auto"/>
              <w:rPr>
                <w:rFonts w:hint="eastAsia" w:ascii="仿宋_GB2312" w:eastAsia="仿宋_GB2312" w:cs="Times New Roman" w:hAnsiTheme="minorHAnsi"/>
                <w:i w:val="0"/>
                <w:iCs w:val="0"/>
                <w:color w:val="000000"/>
                <w:kern w:val="0"/>
                <w:sz w:val="28"/>
                <w:szCs w:val="28"/>
                <w:lang w:val="en-US" w:eastAsia="zh-CN" w:bidi="ar"/>
              </w:rPr>
            </w:pPr>
            <w:r>
              <w:rPr>
                <w:rFonts w:hint="eastAsia" w:ascii="仿宋_GB2312" w:eastAsia="仿宋_GB2312" w:cs="Times New Roman" w:hAnsiTheme="minorHAnsi"/>
                <w:b w:val="0"/>
                <w:bCs w:val="0"/>
                <w:i w:val="0"/>
                <w:iCs w:val="0"/>
                <w:color w:val="000000"/>
                <w:kern w:val="0"/>
                <w:sz w:val="28"/>
                <w:szCs w:val="28"/>
                <w:lang w:val="en-US" w:eastAsia="zh-CN" w:bidi="ar"/>
              </w:rPr>
              <w:t>3.“一张网”汇聚服务场景。</w:t>
            </w:r>
            <w:r>
              <w:rPr>
                <w:rFonts w:hint="eastAsia" w:ascii="仿宋_GB2312" w:eastAsia="仿宋_GB2312" w:cs="Times New Roman" w:hAnsiTheme="minorHAnsi"/>
                <w:i w:val="0"/>
                <w:iCs w:val="0"/>
                <w:color w:val="000000"/>
                <w:kern w:val="0"/>
                <w:sz w:val="28"/>
                <w:szCs w:val="28"/>
                <w:lang w:val="en-US" w:eastAsia="zh-CN" w:bidi="ar"/>
              </w:rPr>
              <w:t>为推动政金企信息互通共享，与全国“信易贷”平台对接；为服务“乡村振兴”战略，开发了“三农融资”服务专区、“重点项目融资”专区等。下一步，平台将重点围绕“外贸企业”“专精特新企业”等群体开展融资需求调研，提供定制化、精细化融资服务。</w:t>
            </w:r>
          </w:p>
          <w:p>
            <w:pPr>
              <w:pStyle w:val="18"/>
              <w:keepNext w:val="0"/>
              <w:keepLines w:val="0"/>
              <w:widowControl/>
              <w:suppressLineNumbers w:val="0"/>
              <w:spacing w:before="0" w:beforeAutospacing="0" w:after="0" w:afterAutospacing="0"/>
              <w:ind w:right="0" w:firstLine="560" w:firstLineChars="200"/>
              <w:jc w:val="left"/>
              <w:rPr>
                <w:rFonts w:hint="eastAsia" w:ascii="仿宋_GB2312" w:eastAsia="仿宋_GB2312" w:cs="Times New Roman" w:hAnsiTheme="minorHAnsi"/>
                <w:i w:val="0"/>
                <w:iCs w:val="0"/>
                <w:color w:val="000000"/>
                <w:kern w:val="0"/>
                <w:sz w:val="28"/>
                <w:szCs w:val="28"/>
                <w:vertAlign w:val="baseline"/>
                <w:lang w:val="en-US" w:eastAsia="zh-CN" w:bidi="ar"/>
              </w:rPr>
            </w:pPr>
            <w:r>
              <w:rPr>
                <w:rFonts w:hint="eastAsia" w:ascii="仿宋_GB2312" w:eastAsia="仿宋_GB2312" w:cs="Times New Roman" w:hAnsiTheme="minorHAnsi"/>
                <w:b w:val="0"/>
                <w:bCs w:val="0"/>
                <w:i w:val="0"/>
                <w:iCs w:val="0"/>
                <w:color w:val="000000"/>
                <w:kern w:val="0"/>
                <w:sz w:val="28"/>
                <w:szCs w:val="28"/>
                <w:lang w:val="en-US" w:eastAsia="zh-CN" w:bidi="ar"/>
              </w:rPr>
              <w:t>4.“全方位”把握金融市场。</w:t>
            </w:r>
            <w:r>
              <w:rPr>
                <w:rFonts w:hint="eastAsia" w:ascii="仿宋_GB2312" w:eastAsia="仿宋_GB2312" w:cs="Times New Roman" w:hAnsiTheme="minorHAnsi"/>
                <w:i w:val="0"/>
                <w:iCs w:val="0"/>
                <w:color w:val="000000"/>
                <w:kern w:val="0"/>
                <w:sz w:val="28"/>
                <w:szCs w:val="28"/>
                <w:lang w:val="en-US" w:eastAsia="zh-CN" w:bidi="ar"/>
              </w:rPr>
              <w:t>监测大屏可从总额、区域、行业等多维度实时展示，为监管部门管理、调控金融市场提供有力抓手。</w:t>
            </w:r>
          </w:p>
        </w:tc>
      </w:tr>
    </w:tbl>
    <w:p>
      <w:pPr>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s="Times New Roman" w:hAnsiTheme="minorHAnsi"/>
          <w:i w:val="0"/>
          <w:iCs w:val="0"/>
          <w:color w:val="000000"/>
          <w:kern w:val="0"/>
          <w:sz w:val="32"/>
          <w:szCs w:val="32"/>
          <w:lang w:val="en-US" w:eastAsia="zh-CN" w:bidi="ar"/>
        </w:rPr>
      </w:pPr>
      <w:r>
        <w:rPr>
          <w:rFonts w:hint="eastAsia" w:ascii="仿宋_GB2312" w:eastAsia="仿宋_GB2312" w:cs="Times New Roman" w:hAnsiTheme="minorHAnsi"/>
          <w:b/>
          <w:bCs/>
          <w:i w:val="0"/>
          <w:iCs w:val="0"/>
          <w:color w:val="000000"/>
          <w:kern w:val="0"/>
          <w:sz w:val="32"/>
          <w:szCs w:val="32"/>
          <w:lang w:val="en-US" w:eastAsia="zh-CN" w:bidi="ar"/>
        </w:rPr>
        <w:t>完善</w:t>
      </w:r>
      <w:r>
        <w:rPr>
          <w:rFonts w:hint="eastAsia" w:ascii="仿宋_GB2312" w:eastAsia="仿宋_GB2312" w:cs="Times New Roman"/>
          <w:b/>
          <w:bCs/>
          <w:i w:val="0"/>
          <w:iCs w:val="0"/>
          <w:color w:val="000000"/>
          <w:kern w:val="0"/>
          <w:sz w:val="32"/>
          <w:szCs w:val="32"/>
          <w:lang w:val="en-US" w:eastAsia="zh-CN" w:bidi="ar"/>
        </w:rPr>
        <w:t>政策性</w:t>
      </w:r>
      <w:r>
        <w:rPr>
          <w:rFonts w:hint="eastAsia" w:ascii="仿宋_GB2312" w:eastAsia="仿宋_GB2312" w:cs="Times New Roman" w:hAnsiTheme="minorHAnsi"/>
          <w:b/>
          <w:bCs/>
          <w:i w:val="0"/>
          <w:iCs w:val="0"/>
          <w:color w:val="000000"/>
          <w:kern w:val="0"/>
          <w:sz w:val="32"/>
          <w:szCs w:val="32"/>
          <w:lang w:val="en-US" w:eastAsia="zh-CN" w:bidi="ar"/>
        </w:rPr>
        <w:t>融资担保体系。</w:t>
      </w:r>
      <w:r>
        <w:rPr>
          <w:rFonts w:hint="eastAsia" w:ascii="仿宋_GB2312" w:eastAsia="仿宋_GB2312" w:cs="Times New Roman" w:hAnsiTheme="minorHAnsi"/>
          <w:i w:val="0"/>
          <w:iCs w:val="0"/>
          <w:color w:val="000000"/>
          <w:kern w:val="0"/>
          <w:sz w:val="32"/>
          <w:szCs w:val="32"/>
          <w:lang w:val="en-US" w:eastAsia="zh-CN" w:bidi="ar"/>
        </w:rPr>
        <w:t>引导政府性融资担保机构回归本源业务，提高主动获客和风险控制能力，落实尽职免责等制度，健全资本补充、风险补偿和保费补贴政策，逐步降低担保费率，建立“能担、愿担、敢担”的长效机制。推动政府性融资担保机构与省投融资担保集团开展股权、业务合作，落实风险分担机制。支持省农担</w:t>
      </w:r>
      <w:r>
        <w:rPr>
          <w:rFonts w:hint="eastAsia" w:ascii="仿宋_GB2312" w:eastAsia="仿宋_GB2312" w:cs="Times New Roman" w:hAnsiTheme="minorHAnsi"/>
          <w:i w:val="0"/>
          <w:iCs w:val="0"/>
          <w:color w:val="000000"/>
          <w:kern w:val="0"/>
          <w:sz w:val="32"/>
          <w:szCs w:val="32"/>
          <w:lang w:val="en" w:eastAsia="zh-CN" w:bidi="ar"/>
        </w:rPr>
        <w:t>公司</w:t>
      </w:r>
      <w:r>
        <w:rPr>
          <w:rFonts w:hint="eastAsia" w:ascii="仿宋_GB2312" w:eastAsia="仿宋_GB2312" w:cs="Times New Roman" w:hAnsiTheme="minorHAnsi"/>
          <w:i w:val="0"/>
          <w:iCs w:val="0"/>
          <w:color w:val="000000"/>
          <w:kern w:val="0"/>
          <w:sz w:val="32"/>
          <w:szCs w:val="32"/>
          <w:lang w:val="en-US" w:eastAsia="zh-CN" w:bidi="ar"/>
        </w:rPr>
        <w:t>在聊开展业务，推动农业担保业务提质扩面。推动市级大型融资担保公司加快业务发展，更好发挥龙头作用。对融资担保机构缺失或融资担保服务功能薄弱的县域，支持属地政府设立新的融资担保机构。</w:t>
      </w:r>
    </w:p>
    <w:p>
      <w:pPr>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s="Times New Roman" w:hAnsiTheme="minorHAnsi"/>
          <w:i w:val="0"/>
          <w:iCs w:val="0"/>
          <w:color w:val="000000"/>
          <w:kern w:val="0"/>
          <w:sz w:val="32"/>
          <w:szCs w:val="32"/>
          <w:lang w:val="en-US" w:eastAsia="zh-CN" w:bidi="ar"/>
        </w:rPr>
      </w:pPr>
      <w:r>
        <w:rPr>
          <w:rFonts w:hint="eastAsia" w:ascii="仿宋_GB2312" w:eastAsia="仿宋_GB2312" w:cs="Times New Roman" w:hAnsiTheme="minorHAnsi"/>
          <w:b/>
          <w:bCs/>
          <w:i w:val="0"/>
          <w:iCs w:val="0"/>
          <w:color w:val="000000"/>
          <w:kern w:val="0"/>
          <w:sz w:val="32"/>
          <w:szCs w:val="32"/>
          <w:lang w:val="en-US" w:eastAsia="zh-CN" w:bidi="ar"/>
        </w:rPr>
        <w:t>提升直接融资在普惠金融占比。</w:t>
      </w:r>
      <w:r>
        <w:rPr>
          <w:rFonts w:hint="eastAsia" w:ascii="仿宋_GB2312" w:eastAsia="仿宋_GB2312" w:cs="Times New Roman" w:hAnsiTheme="minorHAnsi"/>
          <w:i w:val="0"/>
          <w:iCs w:val="0"/>
          <w:color w:val="000000"/>
          <w:kern w:val="0"/>
          <w:sz w:val="32"/>
          <w:szCs w:val="32"/>
          <w:lang w:val="en-US" w:eastAsia="zh-CN" w:bidi="ar"/>
        </w:rPr>
        <w:t>充分发力对接多层次资本市场，拓宽民营企业和小微企业的融资渠道，支持企业利用好ABS债、公司债、企业债等金融债券融资工具和股权融资支持计划，满足自身合理资金需求，优先支持民营企业和中小微企业通过集合注册发行等方式进行债券融资，并对我市发行企业债券、银行间债务融资工具的企业,按实际融资额的一定比例给予补助。</w:t>
      </w:r>
    </w:p>
    <w:p>
      <w:pPr>
        <w:pStyle w:val="5"/>
        <w:rPr>
          <w:rFonts w:hint="eastAsia"/>
          <w:lang w:val="en-US" w:eastAsia="zh-CN"/>
        </w:rPr>
      </w:pPr>
    </w:p>
    <w:p>
      <w:pPr>
        <w:keepNext/>
        <w:keepLines/>
        <w:pageBreakBefore w:val="0"/>
        <w:widowControl w:val="0"/>
        <w:numPr>
          <w:ilvl w:val="0"/>
          <w:numId w:val="5"/>
        </w:numPr>
        <w:kinsoku/>
        <w:wordWrap/>
        <w:overflowPunct/>
        <w:topLinePunct w:val="0"/>
        <w:autoSpaceDE/>
        <w:autoSpaceDN/>
        <w:bidi w:val="0"/>
        <w:adjustRightInd/>
        <w:snapToGrid/>
        <w:spacing w:before="0" w:after="0" w:line="600" w:lineRule="exact"/>
        <w:ind w:left="0" w:leftChars="0" w:firstLine="0" w:firstLineChars="0"/>
        <w:jc w:val="center"/>
        <w:textAlignment w:val="auto"/>
        <w:outlineLvl w:val="0"/>
        <w:rPr>
          <w:rFonts w:hint="eastAsia" w:ascii="黑体" w:hAnsi="黑体" w:eastAsia="黑体" w:cs="黑体"/>
          <w:b w:val="0"/>
          <w:bCs w:val="0"/>
          <w:snapToGrid w:val="0"/>
          <w:kern w:val="0"/>
          <w:sz w:val="32"/>
          <w:szCs w:val="32"/>
          <w:lang w:val="en-US" w:eastAsia="zh-CN" w:bidi="ar-SA"/>
        </w:rPr>
      </w:pPr>
      <w:r>
        <w:rPr>
          <w:rFonts w:hint="eastAsia" w:ascii="黑体" w:hAnsi="黑体" w:eastAsia="黑体" w:cs="黑体"/>
          <w:b w:val="0"/>
          <w:bCs w:val="0"/>
          <w:snapToGrid w:val="0"/>
          <w:kern w:val="0"/>
          <w:sz w:val="32"/>
          <w:szCs w:val="32"/>
          <w:lang w:val="en-US" w:eastAsia="zh-CN" w:bidi="ar-SA"/>
        </w:rPr>
        <w:t xml:space="preserve"> </w:t>
      </w:r>
      <w:bookmarkStart w:id="65" w:name="_Toc1918491131_WPSOffice_Level2"/>
      <w:r>
        <w:rPr>
          <w:rFonts w:hint="eastAsia" w:ascii="黑体" w:hAnsi="黑体" w:eastAsia="黑体" w:cs="黑体"/>
          <w:b w:val="0"/>
          <w:bCs w:val="0"/>
          <w:snapToGrid w:val="0"/>
          <w:kern w:val="0"/>
          <w:sz w:val="32"/>
          <w:szCs w:val="32"/>
          <w:lang w:val="en-US" w:eastAsia="zh-CN" w:bidi="ar-SA"/>
        </w:rPr>
        <w:t>推进“双碳目标下”绿色金融新实践</w:t>
      </w:r>
      <w:bookmarkEnd w:id="65"/>
    </w:p>
    <w:p>
      <w:pPr>
        <w:pStyle w:val="5"/>
        <w:numPr>
          <w:ilvl w:val="0"/>
          <w:numId w:val="0"/>
        </w:numPr>
        <w:ind w:leftChars="0"/>
        <w:rPr>
          <w:rFonts w:hint="eastAsia"/>
          <w:lang w:val="en-US" w:eastAsia="zh-CN"/>
        </w:rPr>
      </w:pP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eastAsia="仿宋_GB2312" w:cs="Times New Roman" w:hAnsiTheme="minorHAnsi"/>
          <w:i w:val="0"/>
          <w:iCs w:val="0"/>
          <w:color w:val="000000"/>
          <w:kern w:val="0"/>
          <w:sz w:val="32"/>
          <w:szCs w:val="32"/>
          <w:lang w:val="en-US" w:eastAsia="zh-CN" w:bidi="ar"/>
        </w:rPr>
      </w:pPr>
      <w:r>
        <w:rPr>
          <w:rFonts w:hint="eastAsia" w:ascii="仿宋_GB2312" w:eastAsia="仿宋_GB2312" w:cs="Times New Roman" w:hAnsiTheme="minorHAnsi"/>
          <w:i w:val="0"/>
          <w:iCs w:val="0"/>
          <w:color w:val="000000"/>
          <w:kern w:val="0"/>
          <w:sz w:val="32"/>
          <w:szCs w:val="32"/>
          <w:lang w:val="en-US" w:eastAsia="zh-CN" w:bidi="ar"/>
        </w:rPr>
        <w:t>加快建立完善绿色金融组织机构体系、金融产品和服务体系，引导激励金融体系以市场化方式支持绿色投融资活动，鼓励金融企业积极应对气候挑战，为实现绿色低碳发展和“3060目标”提供有力金融支撑，引导更多金融资源支持节能减排和绿色发展。</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仿宋_GB2312" w:eastAsia="仿宋_GB2312" w:cs="Times New Roman" w:hAnsiTheme="minorHAnsi"/>
          <w:b w:val="0"/>
          <w:bCs w:val="0"/>
          <w:i w:val="0"/>
          <w:iCs w:val="0"/>
          <w:color w:val="000000"/>
          <w:kern w:val="0"/>
          <w:sz w:val="32"/>
          <w:szCs w:val="32"/>
          <w:lang w:val="en-US" w:eastAsia="zh-CN" w:bidi="ar"/>
        </w:rPr>
      </w:pPr>
      <w:r>
        <w:rPr>
          <w:rFonts w:hint="eastAsia" w:ascii="仿宋_GB2312" w:eastAsia="仿宋_GB2312" w:cs="Times New Roman" w:hAnsiTheme="minorHAnsi"/>
          <w:b/>
          <w:bCs/>
          <w:i w:val="0"/>
          <w:iCs w:val="0"/>
          <w:color w:val="000000"/>
          <w:kern w:val="0"/>
          <w:sz w:val="32"/>
          <w:szCs w:val="32"/>
          <w:lang w:val="en-US" w:eastAsia="zh-CN" w:bidi="ar"/>
        </w:rPr>
        <w:t>建立健全绿色金融政策支持体系。</w:t>
      </w:r>
      <w:r>
        <w:rPr>
          <w:rFonts w:hint="eastAsia" w:ascii="仿宋_GB2312" w:eastAsia="仿宋_GB2312" w:cs="Times New Roman" w:hAnsiTheme="minorHAnsi"/>
          <w:b w:val="0"/>
          <w:bCs w:val="0"/>
          <w:i w:val="0"/>
          <w:iCs w:val="0"/>
          <w:color w:val="000000"/>
          <w:kern w:val="0"/>
          <w:sz w:val="32"/>
          <w:szCs w:val="32"/>
          <w:lang w:val="en-US" w:eastAsia="zh-CN" w:bidi="ar"/>
        </w:rPr>
        <w:t>建立跨部门协同工作机制，加强金融、财政、产业、环保等领域协调配合和政策配套，形成有利于绿色金融发展的制度机制。建立完善绿色金融基础设施，探索建立地方绿色金融标准、完善绿色金融统计制度，加快推进绿色信用体系建设、探索建立绿色金融领域财</w:t>
      </w:r>
      <w:r>
        <w:rPr>
          <w:rFonts w:hint="eastAsia" w:ascii="仿宋_GB2312" w:eastAsia="仿宋_GB2312" w:cs="Times New Roman"/>
          <w:b w:val="0"/>
          <w:bCs w:val="0"/>
          <w:i w:val="0"/>
          <w:iCs w:val="0"/>
          <w:color w:val="000000"/>
          <w:kern w:val="0"/>
          <w:sz w:val="32"/>
          <w:szCs w:val="32"/>
          <w:lang w:val="en-US" w:eastAsia="zh-CN" w:bidi="ar"/>
        </w:rPr>
        <w:t>政</w:t>
      </w:r>
      <w:r>
        <w:rPr>
          <w:rFonts w:hint="eastAsia" w:ascii="仿宋_GB2312" w:eastAsia="仿宋_GB2312" w:cs="Times New Roman" w:hAnsiTheme="minorHAnsi"/>
          <w:b w:val="0"/>
          <w:bCs w:val="0"/>
          <w:i w:val="0"/>
          <w:iCs w:val="0"/>
          <w:color w:val="000000"/>
          <w:kern w:val="0"/>
          <w:sz w:val="32"/>
          <w:szCs w:val="32"/>
          <w:lang w:val="en-US" w:eastAsia="zh-CN" w:bidi="ar"/>
        </w:rPr>
        <w:t>奖补政策和风险分担机制。梳理绿色制造、绿色生态、绿色城镇化、绿色产业、绿色设施等绿色项目及企业，找出前景好、质量高、推动本地环境效益显著的项目，组建全市“绿色金融”项目库，有重点的引导推动金融机构加强对接。建立健全绿色金融激励约束机制，强化对银行机构绿色金融评价结果运用，对绿色信贷增量或余额占比达标的金融机构优先予以央行资金等支持。争取“十四五”期间绿色信贷增速不低于各项贷款平均增速、占全部贷款的比重稳步增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lang w:val="en-US" w:eastAsia="zh-CN"/>
        </w:rPr>
      </w:pPr>
      <w:r>
        <w:rPr>
          <w:rFonts w:hint="eastAsia" w:ascii="仿宋_GB2312" w:eastAsia="仿宋_GB2312" w:cs="Times New Roman" w:hAnsiTheme="minorHAnsi"/>
          <w:b/>
          <w:bCs/>
          <w:i w:val="0"/>
          <w:iCs w:val="0"/>
          <w:color w:val="000000"/>
          <w:kern w:val="0"/>
          <w:sz w:val="32"/>
          <w:szCs w:val="32"/>
          <w:lang w:val="en-US" w:eastAsia="zh-CN" w:bidi="ar"/>
        </w:rPr>
        <w:t>创新绿色金融产品服务模式。</w:t>
      </w:r>
      <w:r>
        <w:rPr>
          <w:rFonts w:hint="eastAsia" w:ascii="仿宋_GB2312" w:eastAsia="仿宋_GB2312" w:cs="Times New Roman" w:hAnsiTheme="minorHAnsi"/>
          <w:b w:val="0"/>
          <w:bCs w:val="0"/>
          <w:i w:val="0"/>
          <w:iCs w:val="0"/>
          <w:color w:val="000000"/>
          <w:kern w:val="0"/>
          <w:sz w:val="32"/>
          <w:szCs w:val="32"/>
          <w:lang w:val="en-US" w:eastAsia="zh-CN" w:bidi="ar"/>
        </w:rPr>
        <w:t>鼓励金融机构开展绿色信贷、绿色债券、绿色保险等业务，支持生态治理、环境修复等绿色项目。依托聊城绿色产业研究院，积极开展对政策、产品、市场等研究，推动绿色金融产品落地。在风险可控的前提下，探索发展能效管理、碳排放权、排污权抵（质）押融资业务，以及绿色设备买方信贷、绿色融资租赁、绿色PPP等业务；针对绿色经济直接融资需求，探索发行绿色债券、绿色ABS、绿色资产担保债券等融资工具；有序发展碳债券、碳资产证券化、碳基金、碳远期等金融产品和衍生工具。</w:t>
      </w:r>
      <w:r>
        <w:rPr>
          <w:rFonts w:hint="eastAsia" w:ascii="仿宋_GB2312" w:eastAsia="仿宋_GB2312" w:cs="Times New Roman"/>
          <w:b w:val="0"/>
          <w:bCs w:val="0"/>
          <w:i w:val="0"/>
          <w:iCs w:val="0"/>
          <w:color w:val="000000"/>
          <w:kern w:val="0"/>
          <w:sz w:val="32"/>
          <w:szCs w:val="32"/>
          <w:lang w:val="en-US" w:eastAsia="zh-CN" w:bidi="ar"/>
        </w:rPr>
        <w:t>探索</w:t>
      </w:r>
      <w:r>
        <w:rPr>
          <w:rFonts w:hint="eastAsia" w:ascii="仿宋_GB2312" w:eastAsia="仿宋_GB2312" w:cs="Times New Roman" w:hAnsiTheme="minorHAnsi"/>
          <w:b w:val="0"/>
          <w:bCs w:val="0"/>
          <w:i w:val="0"/>
          <w:iCs w:val="0"/>
          <w:color w:val="000000"/>
          <w:kern w:val="0"/>
          <w:sz w:val="32"/>
          <w:szCs w:val="32"/>
          <w:lang w:val="en-US" w:eastAsia="zh-CN" w:bidi="ar"/>
        </w:rPr>
        <w:t>组建多元化绿色产业投资基金，为绿色产业发展提供风险分担、投融资等金融服务。引进设立会计师事务所、第三方绿色评级与认证机构、环境咨询类公司，为聊城企业提供绿色咨询、认证、评估、培训、评级、检测认证等专业服务。</w:t>
      </w:r>
    </w:p>
    <w:tbl>
      <w:tblPr>
        <w:tblStyle w:val="20"/>
        <w:tblW w:w="8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8600" w:type="dxa"/>
          </w:tcPr>
          <w:p>
            <w:pPr>
              <w:keepNext/>
              <w:keepLines/>
              <w:pageBreakBefore w:val="0"/>
              <w:widowControl w:val="0"/>
              <w:numPr>
                <w:ilvl w:val="0"/>
                <w:numId w:val="0"/>
              </w:numPr>
              <w:kinsoku/>
              <w:wordWrap/>
              <w:overflowPunct/>
              <w:topLinePunct w:val="0"/>
              <w:autoSpaceDE/>
              <w:autoSpaceDN/>
              <w:bidi w:val="0"/>
              <w:adjustRightInd/>
              <w:snapToGrid/>
              <w:spacing w:before="0" w:after="0" w:line="520" w:lineRule="exact"/>
              <w:ind w:firstLine="560" w:firstLineChars="200"/>
              <w:jc w:val="center"/>
              <w:textAlignment w:val="auto"/>
              <w:outlineLvl w:val="0"/>
              <w:rPr>
                <w:rFonts w:hint="eastAsia" w:ascii="仿宋_GB2312" w:eastAsia="仿宋_GB2312" w:cs="Times New Roman" w:hAnsiTheme="minorHAnsi"/>
                <w:b w:val="0"/>
                <w:bCs w:val="0"/>
                <w:i w:val="0"/>
                <w:iCs w:val="0"/>
                <w:color w:val="000000"/>
                <w:kern w:val="0"/>
                <w:sz w:val="28"/>
                <w:szCs w:val="28"/>
                <w:vertAlign w:val="baseline"/>
                <w:lang w:val="en-US" w:eastAsia="zh-CN" w:bidi="ar"/>
              </w:rPr>
            </w:pPr>
            <w:r>
              <w:rPr>
                <w:rFonts w:hint="eastAsia" w:ascii="CESI楷体-GB2312" w:hAnsi="CESI楷体-GB2312" w:eastAsia="CESI楷体-GB2312" w:cs="CESI楷体-GB2312"/>
                <w:b w:val="0"/>
                <w:bCs w:val="0"/>
                <w:i w:val="0"/>
                <w:iCs w:val="0"/>
                <w:color w:val="000000"/>
                <w:kern w:val="0"/>
                <w:sz w:val="28"/>
                <w:szCs w:val="28"/>
                <w:lang w:val="en-US" w:eastAsia="zh-CN" w:bidi="ar"/>
              </w:rPr>
              <w:t>专栏5  实施金融支持绿色低碳行动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4" w:hRule="atLeast"/>
        </w:trPr>
        <w:tc>
          <w:tcPr>
            <w:tcW w:w="8600" w:type="dxa"/>
          </w:tcPr>
          <w:p>
            <w:pPr>
              <w:pageBreakBefore w:val="0"/>
              <w:kinsoku/>
              <w:wordWrap/>
              <w:overflowPunct/>
              <w:topLinePunct w:val="0"/>
              <w:autoSpaceDE/>
              <w:autoSpaceDN/>
              <w:bidi w:val="0"/>
              <w:spacing w:line="560" w:lineRule="exact"/>
              <w:ind w:firstLine="560" w:firstLineChars="200"/>
              <w:textAlignment w:val="auto"/>
              <w:rPr>
                <w:rFonts w:hint="eastAsia" w:ascii="仿宋_GB2312" w:eastAsia="仿宋_GB2312" w:cs="Times New Roman" w:hAnsiTheme="minorHAnsi"/>
                <w:b w:val="0"/>
                <w:bCs w:val="0"/>
                <w:i w:val="0"/>
                <w:iCs w:val="0"/>
                <w:color w:val="000000"/>
                <w:kern w:val="0"/>
                <w:sz w:val="28"/>
                <w:szCs w:val="28"/>
                <w:lang w:val="en-US" w:eastAsia="zh-CN" w:bidi="ar"/>
              </w:rPr>
            </w:pPr>
            <w:r>
              <w:rPr>
                <w:rFonts w:hint="eastAsia" w:ascii="仿宋_GB2312" w:eastAsia="仿宋_GB2312" w:cs="Times New Roman" w:hAnsiTheme="minorHAnsi"/>
                <w:b w:val="0"/>
                <w:bCs w:val="0"/>
                <w:i w:val="0"/>
                <w:iCs w:val="0"/>
                <w:color w:val="000000"/>
                <w:kern w:val="0"/>
                <w:sz w:val="28"/>
                <w:szCs w:val="28"/>
                <w:lang w:val="en-US" w:eastAsia="zh-CN" w:bidi="ar"/>
              </w:rPr>
              <w:t>1</w:t>
            </w:r>
            <w:r>
              <w:rPr>
                <w:rFonts w:hint="eastAsia" w:ascii="仿宋_GB2312" w:eastAsia="仿宋_GB2312" w:cs="Times New Roman"/>
                <w:b w:val="0"/>
                <w:bCs w:val="0"/>
                <w:i w:val="0"/>
                <w:iCs w:val="0"/>
                <w:color w:val="000000"/>
                <w:kern w:val="0"/>
                <w:sz w:val="28"/>
                <w:szCs w:val="28"/>
                <w:lang w:val="en-US" w:eastAsia="zh-CN" w:bidi="ar"/>
              </w:rPr>
              <w:t>.</w:t>
            </w:r>
            <w:r>
              <w:rPr>
                <w:rFonts w:hint="eastAsia" w:ascii="仿宋_GB2312" w:eastAsia="仿宋_GB2312" w:cs="Times New Roman" w:hAnsiTheme="minorHAnsi"/>
                <w:b w:val="0"/>
                <w:bCs w:val="0"/>
                <w:i w:val="0"/>
                <w:iCs w:val="0"/>
                <w:color w:val="000000"/>
                <w:kern w:val="0"/>
                <w:sz w:val="28"/>
                <w:szCs w:val="28"/>
                <w:lang w:val="en-US" w:eastAsia="zh-CN" w:bidi="ar"/>
              </w:rPr>
              <w:t>支持金融机构主动转型。鼓励金融企业开展内部架构改革，设立绿色金融事业部、绿色金融特色网点，开辟绿色信贷研发、审批、推广专项通道，配套绿色信贷专项规模。支持地方法人金融机构完善绿色金融发展战略布局，提高绿色金融发展能力。</w:t>
            </w:r>
          </w:p>
          <w:p>
            <w:pPr>
              <w:pageBreakBefore w:val="0"/>
              <w:kinsoku/>
              <w:wordWrap/>
              <w:overflowPunct/>
              <w:topLinePunct w:val="0"/>
              <w:autoSpaceDE/>
              <w:autoSpaceDN/>
              <w:bidi w:val="0"/>
              <w:spacing w:line="560" w:lineRule="exact"/>
              <w:ind w:firstLine="560" w:firstLineChars="200"/>
              <w:textAlignment w:val="auto"/>
              <w:rPr>
                <w:rFonts w:hint="eastAsia" w:ascii="仿宋_GB2312" w:eastAsia="仿宋_GB2312" w:cs="Times New Roman" w:hAnsiTheme="minorHAnsi"/>
                <w:b w:val="0"/>
                <w:bCs w:val="0"/>
                <w:i w:val="0"/>
                <w:iCs w:val="0"/>
                <w:color w:val="000000"/>
                <w:kern w:val="0"/>
                <w:sz w:val="28"/>
                <w:szCs w:val="28"/>
                <w:lang w:val="en-US" w:eastAsia="zh-CN" w:bidi="ar"/>
              </w:rPr>
            </w:pPr>
            <w:r>
              <w:rPr>
                <w:rFonts w:hint="eastAsia" w:ascii="仿宋_GB2312" w:eastAsia="仿宋_GB2312" w:cs="Times New Roman" w:hAnsiTheme="minorHAnsi"/>
                <w:b w:val="0"/>
                <w:bCs w:val="0"/>
                <w:i w:val="0"/>
                <w:iCs w:val="0"/>
                <w:color w:val="000000"/>
                <w:kern w:val="0"/>
                <w:sz w:val="28"/>
                <w:szCs w:val="28"/>
                <w:lang w:val="en-US" w:eastAsia="zh-CN" w:bidi="ar"/>
              </w:rPr>
              <w:t>2</w:t>
            </w:r>
            <w:r>
              <w:rPr>
                <w:rFonts w:hint="eastAsia" w:ascii="仿宋_GB2312" w:eastAsia="仿宋_GB2312" w:cs="Times New Roman"/>
                <w:b w:val="0"/>
                <w:bCs w:val="0"/>
                <w:i w:val="0"/>
                <w:iCs w:val="0"/>
                <w:color w:val="000000"/>
                <w:kern w:val="0"/>
                <w:sz w:val="28"/>
                <w:szCs w:val="28"/>
                <w:lang w:val="en-US" w:eastAsia="zh-CN" w:bidi="ar"/>
              </w:rPr>
              <w:t>.</w:t>
            </w:r>
            <w:r>
              <w:rPr>
                <w:rFonts w:hint="eastAsia" w:ascii="仿宋_GB2312" w:eastAsia="仿宋_GB2312" w:cs="Times New Roman" w:hAnsiTheme="minorHAnsi"/>
                <w:b w:val="0"/>
                <w:bCs w:val="0"/>
                <w:i w:val="0"/>
                <w:iCs w:val="0"/>
                <w:color w:val="000000"/>
                <w:kern w:val="0"/>
                <w:sz w:val="28"/>
                <w:szCs w:val="28"/>
                <w:lang w:val="en-US" w:eastAsia="zh-CN" w:bidi="ar"/>
              </w:rPr>
              <w:t>丰富绿色金融产品。探索多种形式的绿色贷款模式，加大对绿色能源、绿色交通、绿色制造、绿色建筑等支持力度。积极开发绿色消费贷、绿色按揭贷、绿色理财等金融产品。完善绿色保险产品及服务体系，扩大环境污染责任保险覆盖面，探索建立应对气候变化风险的巨灾保险服务机制。</w:t>
            </w:r>
          </w:p>
          <w:p>
            <w:pPr>
              <w:pageBreakBefore w:val="0"/>
              <w:kinsoku/>
              <w:wordWrap/>
              <w:overflowPunct/>
              <w:topLinePunct w:val="0"/>
              <w:autoSpaceDE/>
              <w:autoSpaceDN/>
              <w:bidi w:val="0"/>
              <w:spacing w:line="560" w:lineRule="exact"/>
              <w:ind w:firstLine="560" w:firstLineChars="200"/>
              <w:textAlignment w:val="auto"/>
              <w:rPr>
                <w:rFonts w:hint="eastAsia" w:ascii="仿宋_GB2312" w:eastAsia="仿宋_GB2312" w:cs="Times New Roman" w:hAnsiTheme="minorHAnsi"/>
                <w:b w:val="0"/>
                <w:bCs w:val="0"/>
                <w:i w:val="0"/>
                <w:iCs w:val="0"/>
                <w:color w:val="000000"/>
                <w:kern w:val="0"/>
                <w:sz w:val="28"/>
                <w:szCs w:val="28"/>
                <w:vertAlign w:val="baseline"/>
                <w:lang w:val="en-US" w:eastAsia="zh-CN" w:bidi="ar"/>
              </w:rPr>
            </w:pPr>
            <w:r>
              <w:rPr>
                <w:rFonts w:hint="eastAsia" w:ascii="仿宋_GB2312" w:eastAsia="仿宋_GB2312" w:cs="Times New Roman" w:hAnsiTheme="minorHAnsi"/>
                <w:b w:val="0"/>
                <w:bCs w:val="0"/>
                <w:i w:val="0"/>
                <w:iCs w:val="0"/>
                <w:color w:val="000000"/>
                <w:kern w:val="0"/>
                <w:sz w:val="28"/>
                <w:szCs w:val="28"/>
                <w:lang w:val="en-US" w:eastAsia="zh-CN" w:bidi="ar"/>
              </w:rPr>
              <w:t>3</w:t>
            </w:r>
            <w:r>
              <w:rPr>
                <w:rFonts w:hint="eastAsia" w:ascii="仿宋_GB2312" w:eastAsia="仿宋_GB2312" w:cs="Times New Roman"/>
                <w:b w:val="0"/>
                <w:bCs w:val="0"/>
                <w:i w:val="0"/>
                <w:iCs w:val="0"/>
                <w:color w:val="000000"/>
                <w:kern w:val="0"/>
                <w:sz w:val="28"/>
                <w:szCs w:val="28"/>
                <w:lang w:val="en-US" w:eastAsia="zh-CN" w:bidi="ar"/>
              </w:rPr>
              <w:t>.</w:t>
            </w:r>
            <w:r>
              <w:rPr>
                <w:rFonts w:hint="eastAsia" w:ascii="仿宋_GB2312" w:eastAsia="仿宋_GB2312" w:cs="Times New Roman" w:hAnsiTheme="minorHAnsi"/>
                <w:b w:val="0"/>
                <w:bCs w:val="0"/>
                <w:i w:val="0"/>
                <w:iCs w:val="0"/>
                <w:color w:val="000000"/>
                <w:kern w:val="0"/>
                <w:sz w:val="28"/>
                <w:szCs w:val="28"/>
                <w:lang w:val="en-US" w:eastAsia="zh-CN" w:bidi="ar"/>
              </w:rPr>
              <w:t>建立健全绿色金融发展基础体系。进一步完善财政贴息、奖补等政策体系，鼓励引导金融企业和绿色产业企业等市场主体积极推广运用绿色金融产品和服务。</w:t>
            </w:r>
            <w:r>
              <w:rPr>
                <w:rFonts w:hint="eastAsia" w:ascii="仿宋_GB2312" w:eastAsia="仿宋_GB2312" w:cs="Times New Roman"/>
                <w:b w:val="0"/>
                <w:bCs w:val="0"/>
                <w:i w:val="0"/>
                <w:iCs w:val="0"/>
                <w:color w:val="000000"/>
                <w:kern w:val="0"/>
                <w:sz w:val="28"/>
                <w:szCs w:val="28"/>
                <w:lang w:val="en-US" w:eastAsia="zh-CN" w:bidi="ar"/>
              </w:rPr>
              <w:t>、</w:t>
            </w:r>
            <w:r>
              <w:rPr>
                <w:rFonts w:hint="eastAsia" w:ascii="仿宋_GB2312" w:eastAsia="仿宋_GB2312" w:cs="Times New Roman" w:hAnsiTheme="minorHAnsi"/>
                <w:b w:val="0"/>
                <w:bCs w:val="0"/>
                <w:i w:val="0"/>
                <w:iCs w:val="0"/>
                <w:color w:val="000000"/>
                <w:kern w:val="0"/>
                <w:sz w:val="28"/>
                <w:szCs w:val="28"/>
                <w:lang w:val="en-US" w:eastAsia="zh-CN" w:bidi="ar"/>
              </w:rPr>
              <w:t>因地制宜制定绿色产业、企业和项目识别认定办法，实行动态更新和定期推介，建立“绿色企业项目库”。</w:t>
            </w:r>
          </w:p>
        </w:tc>
      </w:tr>
    </w:tbl>
    <w:p>
      <w:pPr>
        <w:keepNext/>
        <w:keepLines/>
        <w:pageBreakBefore w:val="0"/>
        <w:widowControl w:val="0"/>
        <w:numPr>
          <w:ilvl w:val="0"/>
          <w:numId w:val="0"/>
        </w:numPr>
        <w:kinsoku/>
        <w:wordWrap/>
        <w:overflowPunct/>
        <w:topLinePunct w:val="0"/>
        <w:autoSpaceDE/>
        <w:autoSpaceDN/>
        <w:bidi w:val="0"/>
        <w:adjustRightInd/>
        <w:snapToGrid/>
        <w:spacing w:before="0" w:after="0" w:line="600" w:lineRule="exact"/>
        <w:ind w:firstLine="640" w:firstLineChars="200"/>
        <w:jc w:val="center"/>
        <w:textAlignment w:val="auto"/>
        <w:outlineLvl w:val="0"/>
        <w:rPr>
          <w:rFonts w:hint="eastAsia" w:ascii="CESI黑体-GB2312" w:hAnsi="CESI黑体-GB2312" w:eastAsia="CESI黑体-GB2312" w:cs="CESI黑体-GB2312"/>
          <w:b w:val="0"/>
          <w:bCs w:val="0"/>
          <w:snapToGrid w:val="0"/>
          <w:kern w:val="0"/>
          <w:sz w:val="32"/>
          <w:szCs w:val="32"/>
          <w:lang w:val="en-US" w:eastAsia="zh-CN" w:bidi="ar-SA"/>
        </w:rPr>
      </w:pPr>
      <w:bookmarkStart w:id="66" w:name="_Toc339646699_WPSOffice_Level2"/>
      <w:r>
        <w:rPr>
          <w:rFonts w:hint="eastAsia" w:ascii="黑体" w:hAnsi="黑体" w:eastAsia="黑体" w:cs="黑体"/>
          <w:b w:val="0"/>
          <w:bCs w:val="0"/>
          <w:snapToGrid w:val="0"/>
          <w:kern w:val="0"/>
          <w:sz w:val="32"/>
          <w:szCs w:val="32"/>
          <w:lang w:val="en-US" w:eastAsia="zh-CN" w:bidi="ar-SA"/>
        </w:rPr>
        <w:br w:type="textWrapping"/>
      </w:r>
      <w:bookmarkStart w:id="67" w:name="_Toc209895767_WPSOffice_Level2"/>
      <w:r>
        <w:rPr>
          <w:rFonts w:hint="eastAsia" w:ascii="CESI黑体-GB2312" w:hAnsi="CESI黑体-GB2312" w:eastAsia="CESI黑体-GB2312" w:cs="CESI黑体-GB2312"/>
          <w:b w:val="0"/>
          <w:bCs w:val="0"/>
          <w:sz w:val="32"/>
          <w:szCs w:val="32"/>
          <w:lang w:eastAsia="zh-CN"/>
        </w:rPr>
        <w:t>第六节</w:t>
      </w:r>
      <w:r>
        <w:rPr>
          <w:rFonts w:hint="eastAsia" w:ascii="CESI黑体-GB2312" w:hAnsi="CESI黑体-GB2312" w:eastAsia="CESI黑体-GB2312" w:cs="CESI黑体-GB2312"/>
          <w:b w:val="0"/>
          <w:bCs w:val="0"/>
          <w:sz w:val="32"/>
          <w:szCs w:val="32"/>
          <w:lang w:val="en-US" w:eastAsia="zh-CN"/>
        </w:rPr>
        <w:t xml:space="preserve">  </w:t>
      </w:r>
      <w:r>
        <w:rPr>
          <w:rFonts w:hint="eastAsia" w:ascii="CESI黑体-GB2312" w:hAnsi="CESI黑体-GB2312" w:eastAsia="CESI黑体-GB2312" w:cs="CESI黑体-GB2312"/>
          <w:b w:val="0"/>
          <w:bCs w:val="0"/>
          <w:snapToGrid w:val="0"/>
          <w:kern w:val="0"/>
          <w:sz w:val="32"/>
          <w:szCs w:val="32"/>
          <w:lang w:val="en-US" w:eastAsia="zh-CN" w:bidi="ar-SA"/>
        </w:rPr>
        <w:t>探索金融支持文旅康养新路径</w:t>
      </w:r>
      <w:bookmarkEnd w:id="67"/>
    </w:p>
    <w:p>
      <w:pPr>
        <w:pStyle w:val="5"/>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eastAsia="仿宋_GB2312" w:cs="Times New Roman" w:hAnsiTheme="minorHAnsi"/>
          <w:i w:val="0"/>
          <w:iCs w:val="0"/>
          <w:color w:val="000000"/>
          <w:kern w:val="0"/>
          <w:sz w:val="32"/>
          <w:szCs w:val="32"/>
          <w:lang w:val="en-US" w:eastAsia="zh-CN" w:bidi="ar"/>
        </w:rPr>
      </w:pPr>
      <w:r>
        <w:rPr>
          <w:rFonts w:hint="eastAsia" w:ascii="仿宋_GB2312" w:eastAsia="仿宋_GB2312" w:cs="Times New Roman" w:hAnsiTheme="minorHAnsi"/>
          <w:i w:val="0"/>
          <w:iCs w:val="0"/>
          <w:color w:val="000000"/>
          <w:kern w:val="0"/>
          <w:sz w:val="32"/>
          <w:szCs w:val="32"/>
          <w:lang w:val="en-US" w:eastAsia="zh-CN" w:bidi="ar"/>
        </w:rPr>
        <w:t>紧紧围绕打造区域性文旅康养目的地城市战略目标，针对文旅康养行业特点创新金融服务、增加金融供给，构建</w:t>
      </w:r>
      <w:r>
        <w:rPr>
          <w:rFonts w:hint="eastAsia" w:ascii="仿宋_GB2312" w:eastAsia="仿宋_GB2312" w:cs="Times New Roman"/>
          <w:i w:val="0"/>
          <w:iCs w:val="0"/>
          <w:color w:val="000000"/>
          <w:kern w:val="0"/>
          <w:sz w:val="32"/>
          <w:szCs w:val="32"/>
          <w:lang w:val="en-US" w:eastAsia="zh-CN" w:bidi="ar"/>
        </w:rPr>
        <w:t>特色</w:t>
      </w:r>
      <w:r>
        <w:rPr>
          <w:rFonts w:hint="eastAsia" w:ascii="仿宋_GB2312" w:eastAsia="仿宋_GB2312" w:cs="Times New Roman" w:hAnsiTheme="minorHAnsi"/>
          <w:i w:val="0"/>
          <w:iCs w:val="0"/>
          <w:color w:val="000000"/>
          <w:kern w:val="0"/>
          <w:sz w:val="32"/>
          <w:szCs w:val="32"/>
          <w:lang w:val="en-US" w:eastAsia="zh-CN" w:bidi="ar"/>
        </w:rPr>
        <w:t>化、精准化金融支持体系，深入推进文旅康养产业与金融深度融合发展。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s="Times New Roman" w:hAnsiTheme="minorHAnsi"/>
          <w:i w:val="0"/>
          <w:iCs w:val="0"/>
          <w:color w:val="000000"/>
          <w:kern w:val="0"/>
          <w:sz w:val="32"/>
          <w:szCs w:val="32"/>
          <w:lang w:val="en-US" w:eastAsia="zh-CN" w:bidi="ar"/>
        </w:rPr>
      </w:pPr>
      <w:r>
        <w:rPr>
          <w:rFonts w:hint="eastAsia" w:ascii="仿宋_GB2312" w:eastAsia="仿宋_GB2312" w:cs="Times New Roman" w:hAnsiTheme="minorHAnsi"/>
          <w:b/>
          <w:bCs/>
          <w:i w:val="0"/>
          <w:iCs w:val="0"/>
          <w:color w:val="000000"/>
          <w:kern w:val="0"/>
          <w:sz w:val="32"/>
          <w:szCs w:val="32"/>
          <w:lang w:val="en-US" w:eastAsia="zh-CN" w:bidi="ar"/>
        </w:rPr>
        <w:t>加大对文旅产业金融支持。</w:t>
      </w:r>
      <w:r>
        <w:rPr>
          <w:rFonts w:hint="eastAsia" w:ascii="仿宋_GB2312" w:eastAsia="仿宋_GB2312" w:cs="Times New Roman" w:hAnsiTheme="minorHAnsi"/>
          <w:i w:val="0"/>
          <w:iCs w:val="0"/>
          <w:color w:val="000000"/>
          <w:kern w:val="0"/>
          <w:sz w:val="32"/>
          <w:szCs w:val="32"/>
          <w:lang w:val="en-US" w:eastAsia="zh-CN" w:bidi="ar"/>
        </w:rPr>
        <w:t>加强文化旅游部门与金融管理部门的对接沟通，以金融辅导、首贷培植等为载体，开展面向文化和旅游产业的高质效银企对接活动。对列入文化出口重点企业标准的文旅企业，文化创意和精品旅游产业集群领军企业及行业龙头企业，鼓励金融机构积极对接，开通审查审批“绿色通道”，给予资金支持。创新开发文化旅游主题信用卡、信贷产品，开展景区经营权、门票收入权质押等融资业务，开发和推广“随借随还”类信贷产品，积极提高市场主体融资的便利性。鼓励银行等金融机构在合法合规前提下，探索文旅债券、文旅基金、文旅保险等文旅金融产品。深挖细挖文化旅游产业优质上市后备资源，有针对性地做好培育服务，推动企业上市融资。鼓励完善文旅保险产品供给，鼓励保险公司开发覆盖旅游各节点的一站式保险产品，开发针对不同旅游方式、不同旅游地区及不同年龄群体需求的保险产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CESI黑体-GB2312" w:hAnsi="CESI黑体-GB2312" w:eastAsia="CESI黑体-GB2312" w:cs="CESI黑体-GB2312"/>
          <w:sz w:val="36"/>
          <w:szCs w:val="36"/>
          <w:lang w:eastAsia="zh-CN"/>
        </w:rPr>
      </w:pPr>
      <w:r>
        <w:rPr>
          <w:rFonts w:hint="eastAsia" w:ascii="仿宋_GB2312" w:eastAsia="仿宋_GB2312" w:cs="Times New Roman" w:hAnsiTheme="minorHAnsi"/>
          <w:b/>
          <w:bCs/>
          <w:i w:val="0"/>
          <w:iCs w:val="0"/>
          <w:color w:val="000000"/>
          <w:kern w:val="0"/>
          <w:sz w:val="32"/>
          <w:szCs w:val="32"/>
          <w:lang w:val="en-US" w:eastAsia="zh-CN" w:bidi="ar"/>
        </w:rPr>
        <w:t>加大对康养产业金融支持。</w:t>
      </w:r>
      <w:r>
        <w:rPr>
          <w:rFonts w:hint="eastAsia" w:ascii="仿宋_GB2312" w:eastAsia="仿宋_GB2312" w:cs="Times New Roman" w:hAnsiTheme="minorHAnsi"/>
          <w:i w:val="0"/>
          <w:iCs w:val="0"/>
          <w:color w:val="000000"/>
          <w:kern w:val="0"/>
          <w:sz w:val="32"/>
          <w:szCs w:val="32"/>
          <w:lang w:val="en-US" w:eastAsia="zh-CN" w:bidi="ar"/>
        </w:rPr>
        <w:t>推动银行机构落实金融支持养老服务业发展的政策措施，探索养老服务机构运用土地使用权、房产、收费权等抵质押贷款的可行有效模式。加大创业担保贷款投放力度，支持社区小型家政、健康服务机构发展。</w:t>
      </w:r>
      <w:r>
        <w:rPr>
          <w:rFonts w:hint="default" w:ascii="Times New Roman" w:hAnsi="Times New Roman" w:eastAsia="仿宋_GB2312" w:cs="Times New Roman"/>
          <w:b w:val="0"/>
          <w:bCs w:val="0"/>
          <w:i w:val="0"/>
          <w:iCs w:val="0"/>
          <w:color w:val="000000"/>
          <w:sz w:val="32"/>
          <w:szCs w:val="32"/>
          <w:lang w:val="en-US" w:eastAsia="zh-CN"/>
        </w:rPr>
        <w:t>支持采取政府和社会资本合作（PPP）模式发展养老机构，鼓励银行、证券等金融机构创新适合PPP项目的融资机制，为社会资本投资参与养老服务业提供融资支持。</w:t>
      </w:r>
      <w:r>
        <w:rPr>
          <w:rFonts w:hint="eastAsia" w:ascii="仿宋_GB2312" w:eastAsia="仿宋_GB2312" w:cs="Times New Roman" w:hAnsiTheme="minorHAnsi"/>
          <w:i w:val="0"/>
          <w:iCs w:val="0"/>
          <w:color w:val="000000"/>
          <w:kern w:val="0"/>
          <w:sz w:val="32"/>
          <w:szCs w:val="32"/>
          <w:lang w:val="en-US" w:eastAsia="zh-CN" w:bidi="ar"/>
        </w:rPr>
        <w:t>鼓励各类经营场所保留传统金融服务方式，满足老年人现金支付需求。创新养老保险产品，加快发展商业养老保险、长期护理保险、大病医疗保险，促进保险与养老服务业融合发展。</w:t>
      </w:r>
    </w:p>
    <w:p>
      <w:pPr>
        <w:keepNext w:val="0"/>
        <w:keepLines w:val="0"/>
        <w:pageBreakBefore w:val="0"/>
        <w:widowControl/>
        <w:kinsoku/>
        <w:wordWrap/>
        <w:overflowPunct/>
        <w:topLinePunct w:val="0"/>
        <w:autoSpaceDE/>
        <w:autoSpaceDN/>
        <w:bidi w:val="0"/>
        <w:adjustRightInd/>
        <w:snapToGrid/>
        <w:spacing w:line="560" w:lineRule="exact"/>
        <w:ind w:firstLine="720" w:firstLineChars="200"/>
        <w:jc w:val="both"/>
        <w:textAlignment w:val="auto"/>
        <w:rPr>
          <w:rFonts w:hint="eastAsia" w:ascii="CESI黑体-GB2312" w:hAnsi="CESI黑体-GB2312" w:eastAsia="CESI黑体-GB2312" w:cs="CESI黑体-GB2312"/>
          <w:sz w:val="36"/>
          <w:szCs w:val="36"/>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Chars="0"/>
        <w:jc w:val="center"/>
        <w:textAlignment w:val="auto"/>
        <w:outlineLvl w:val="0"/>
        <w:rPr>
          <w:rFonts w:hint="eastAsia" w:ascii="CESI黑体-GB2312" w:hAnsi="CESI黑体-GB2312" w:eastAsia="CESI黑体-GB2312" w:cs="CESI黑体-GB2312"/>
          <w:b w:val="0"/>
          <w:bCs w:val="0"/>
          <w:sz w:val="32"/>
          <w:szCs w:val="32"/>
          <w:lang w:eastAsia="zh-CN"/>
        </w:rPr>
      </w:pPr>
      <w:bookmarkStart w:id="68" w:name="_Toc1416099066_WPSOffice_Level2"/>
      <w:r>
        <w:rPr>
          <w:rFonts w:hint="eastAsia" w:ascii="CESI黑体-GB2312" w:hAnsi="CESI黑体-GB2312" w:eastAsia="CESI黑体-GB2312" w:cs="CESI黑体-GB2312"/>
          <w:kern w:val="0"/>
          <w:sz w:val="32"/>
          <w:szCs w:val="32"/>
          <w:lang w:val="en-US" w:eastAsia="zh-CN"/>
        </w:rPr>
        <w:t>第七节 形</w:t>
      </w:r>
      <w:r>
        <w:rPr>
          <w:rFonts w:hint="eastAsia" w:ascii="CESI黑体-GB2312" w:hAnsi="CESI黑体-GB2312" w:eastAsia="CESI黑体-GB2312" w:cs="CESI黑体-GB2312"/>
          <w:b w:val="0"/>
          <w:bCs w:val="0"/>
          <w:sz w:val="32"/>
          <w:szCs w:val="32"/>
          <w:lang w:val="en-US" w:eastAsia="zh-CN"/>
        </w:rPr>
        <w:t>成金融支持</w:t>
      </w:r>
      <w:r>
        <w:rPr>
          <w:rFonts w:hint="eastAsia" w:ascii="CESI黑体-GB2312" w:hAnsi="CESI黑体-GB2312" w:eastAsia="CESI黑体-GB2312" w:cs="CESI黑体-GB2312"/>
          <w:b w:val="0"/>
          <w:bCs w:val="0"/>
          <w:sz w:val="32"/>
          <w:szCs w:val="32"/>
        </w:rPr>
        <w:t>重点项目融资</w:t>
      </w:r>
      <w:r>
        <w:rPr>
          <w:rFonts w:hint="eastAsia" w:ascii="CESI黑体-GB2312" w:hAnsi="CESI黑体-GB2312" w:eastAsia="CESI黑体-GB2312" w:cs="CESI黑体-GB2312"/>
          <w:b w:val="0"/>
          <w:bCs w:val="0"/>
          <w:sz w:val="32"/>
          <w:szCs w:val="32"/>
          <w:lang w:eastAsia="zh-CN"/>
        </w:rPr>
        <w:t>新生态</w:t>
      </w:r>
      <w:bookmarkEnd w:id="68"/>
    </w:p>
    <w:p>
      <w:pPr>
        <w:pStyle w:val="5"/>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Chars="0" w:firstLine="640" w:firstLineChars="200"/>
        <w:jc w:val="both"/>
        <w:textAlignment w:val="auto"/>
        <w:outlineLvl w:val="0"/>
        <w:rPr>
          <w:rFonts w:hint="eastAsia" w:ascii="CESI仿宋-GB2312" w:hAnsi="CESI仿宋-GB2312" w:eastAsia="CESI仿宋-GB2312" w:cs="CESI仿宋-GB2312"/>
          <w:b w:val="0"/>
          <w:bCs w:val="0"/>
          <w:snapToGrid w:val="0"/>
          <w:kern w:val="0"/>
          <w:sz w:val="32"/>
          <w:szCs w:val="32"/>
          <w:lang w:val="en-US" w:eastAsia="zh-CN" w:bidi="ar-SA"/>
        </w:rPr>
      </w:pPr>
      <w:r>
        <w:rPr>
          <w:rFonts w:hint="eastAsia" w:ascii="CESI仿宋-GB2312" w:hAnsi="CESI仿宋-GB2312" w:eastAsia="CESI仿宋-GB2312" w:cs="CESI仿宋-GB2312"/>
          <w:b w:val="0"/>
          <w:bCs w:val="0"/>
          <w:snapToGrid w:val="0"/>
          <w:kern w:val="0"/>
          <w:sz w:val="32"/>
          <w:szCs w:val="32"/>
          <w:lang w:val="en-US" w:eastAsia="zh-CN" w:bidi="ar-SA"/>
        </w:rPr>
        <w:t>深入贯彻落实“项目为王”理念，整合各类金融资源，进一步创新重点项目融资推进、融资保障、融资畅通等各项机制，为新旧动能重大项目建设提供最优金融服务。</w:t>
      </w:r>
    </w:p>
    <w:p>
      <w:pPr>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CESI仿宋-GB2312"/>
          <w:sz w:val="32"/>
          <w:szCs w:val="32"/>
        </w:rPr>
      </w:pPr>
      <w:r>
        <w:rPr>
          <w:rFonts w:hint="eastAsia" w:ascii="CESI仿宋-GB2312" w:hAnsi="CESI仿宋-GB2312" w:eastAsia="CESI仿宋-GB2312" w:cs="CESI仿宋-GB2312"/>
          <w:b/>
          <w:bCs/>
          <w:snapToGrid w:val="0"/>
          <w:kern w:val="0"/>
          <w:sz w:val="32"/>
          <w:szCs w:val="32"/>
          <w:lang w:val="en-US" w:eastAsia="zh-CN" w:bidi="ar-SA"/>
        </w:rPr>
        <w:t>建立政策性金融重大项目对接机制。</w:t>
      </w:r>
      <w:r>
        <w:rPr>
          <w:rFonts w:hint="eastAsia" w:ascii="CESI仿宋-GB2312" w:hAnsi="CESI仿宋-GB2312" w:eastAsia="CESI仿宋-GB2312" w:cs="CESI仿宋-GB2312"/>
          <w:b w:val="0"/>
          <w:bCs w:val="0"/>
          <w:snapToGrid w:val="0"/>
          <w:kern w:val="0"/>
          <w:sz w:val="32"/>
          <w:szCs w:val="32"/>
          <w:lang w:val="en-US" w:eastAsia="zh-CN" w:bidi="ar-SA"/>
        </w:rPr>
        <w:t>强化与国开行、农发行、进出口银行等政策性金融机构的长期战略合作，重大项目提前介入，为重大项目规划编制、融资方案设计、融资风险管控等环节全流程提供重大项目建设融资服务。积极推进“金融样板县”等项目实施，探索重点项目融资新模式，有效利用中长期政策性资金推动城市基础设施的改造。</w:t>
      </w:r>
    </w:p>
    <w:p>
      <w:pPr>
        <w:pageBreakBefore w:val="0"/>
        <w:kinsoku/>
        <w:wordWrap/>
        <w:overflowPunct/>
        <w:topLinePunct w:val="0"/>
        <w:autoSpaceDE/>
        <w:autoSpaceDN/>
        <w:bidi w:val="0"/>
        <w:adjustRightInd/>
        <w:snapToGrid/>
        <w:spacing w:line="600" w:lineRule="exact"/>
        <w:ind w:firstLine="643" w:firstLineChars="200"/>
        <w:textAlignment w:val="auto"/>
        <w:rPr>
          <w:rFonts w:ascii="仿宋" w:hAnsi="仿宋" w:eastAsia="仿宋" w:cs="CESI仿宋-GB2312"/>
          <w:sz w:val="32"/>
          <w:szCs w:val="32"/>
        </w:rPr>
      </w:pPr>
      <w:r>
        <w:rPr>
          <w:rFonts w:hint="eastAsia" w:ascii="CESI仿宋-GB2312" w:hAnsi="CESI仿宋-GB2312" w:eastAsia="CESI仿宋-GB2312" w:cs="CESI仿宋-GB2312"/>
          <w:b/>
          <w:bCs/>
          <w:snapToGrid w:val="0"/>
          <w:kern w:val="0"/>
          <w:sz w:val="32"/>
          <w:szCs w:val="32"/>
          <w:lang w:val="en-US" w:eastAsia="zh-CN" w:bidi="ar-SA"/>
        </w:rPr>
        <w:t>创新重大项目融资相关机制。</w:t>
      </w:r>
      <w:r>
        <w:rPr>
          <w:rFonts w:hint="eastAsia" w:ascii="CESI仿宋-GB2312" w:hAnsi="CESI仿宋-GB2312" w:eastAsia="CESI仿宋-GB2312" w:cs="CESI仿宋-GB2312"/>
          <w:b w:val="0"/>
          <w:bCs w:val="0"/>
          <w:snapToGrid w:val="0"/>
          <w:kern w:val="0"/>
          <w:sz w:val="32"/>
          <w:szCs w:val="32"/>
          <w:lang w:val="en-US" w:eastAsia="zh-CN" w:bidi="ar-SA"/>
        </w:rPr>
        <w:t>健全优化项目组工作机制，不断更新完善重大项目融资储备库，每个项目组配备项目专员与协调专员。建立监测分析机制，及时跟进项目建设进展，剖析制约项目建设和融资对接的因素，研究解决对策。强化激励机制，充分发挥再贷款、再贴现等货币政策工具的正向激励作用，对支持新旧动能转换重大工程成绩突出的机构，在再贷款等政策执行中优先支持。鼓励银行金融机构通过银团贷款等方式支持重点项目建设。</w:t>
      </w:r>
    </w:p>
    <w:p>
      <w:pPr>
        <w:pageBreakBefore w:val="0"/>
        <w:kinsoku/>
        <w:wordWrap/>
        <w:overflowPunct/>
        <w:topLinePunct w:val="0"/>
        <w:autoSpaceDE/>
        <w:autoSpaceDN/>
        <w:bidi w:val="0"/>
        <w:adjustRightInd/>
        <w:snapToGrid/>
        <w:spacing w:line="600" w:lineRule="exact"/>
        <w:ind w:firstLine="643" w:firstLineChars="200"/>
        <w:textAlignment w:val="auto"/>
        <w:rPr>
          <w:rFonts w:hint="eastAsia" w:ascii="CESI黑体-GB2312" w:hAnsi="CESI黑体-GB2312" w:eastAsia="CESI黑体-GB2312" w:cs="CESI黑体-GB2312"/>
          <w:sz w:val="36"/>
          <w:szCs w:val="36"/>
          <w:lang w:eastAsia="zh-CN"/>
        </w:rPr>
      </w:pPr>
      <w:r>
        <w:rPr>
          <w:rFonts w:hint="eastAsia" w:ascii="CESI仿宋-GB2312" w:hAnsi="CESI仿宋-GB2312" w:eastAsia="CESI仿宋-GB2312" w:cs="CESI仿宋-GB2312"/>
          <w:b/>
          <w:bCs/>
          <w:snapToGrid w:val="0"/>
          <w:kern w:val="0"/>
          <w:sz w:val="32"/>
          <w:szCs w:val="32"/>
          <w:lang w:val="en-US" w:eastAsia="zh-CN" w:bidi="ar-SA"/>
        </w:rPr>
        <w:t>拓宽重大项目融资渠道。</w:t>
      </w:r>
      <w:r>
        <w:rPr>
          <w:rFonts w:hint="eastAsia" w:ascii="CESI仿宋-GB2312" w:hAnsi="CESI仿宋-GB2312" w:eastAsia="CESI仿宋-GB2312" w:cs="CESI仿宋-GB2312"/>
          <w:b w:val="0"/>
          <w:bCs w:val="0"/>
          <w:snapToGrid w:val="0"/>
          <w:kern w:val="0"/>
          <w:sz w:val="32"/>
          <w:szCs w:val="32"/>
          <w:lang w:val="en-US" w:eastAsia="zh-CN" w:bidi="ar-SA"/>
        </w:rPr>
        <w:t>鼓励支持符合条件的新旧动能转换企业发行企业债、公司债、短期融资券、中期票据、集合票据等各类债券融资工具，拓宽融资渠道，降低融资成本，调整债务结构。坚持政府投入和市场化机制相结合，积极争取专项债规模，采用PPP、基础设施领域不动产投资基金等办法吸引社会资本。积极争取保险资金运用，引导全市各保险机构主动加强与上级保险资产管理公司的沟通，发挥好纽带作用，积极推荐我市重点项目。</w:t>
      </w:r>
    </w:p>
    <w:p>
      <w:pPr>
        <w:keepNext w:val="0"/>
        <w:keepLines w:val="0"/>
        <w:pageBreakBefore w:val="0"/>
        <w:widowControl/>
        <w:kinsoku/>
        <w:wordWrap/>
        <w:overflowPunct/>
        <w:topLinePunct w:val="0"/>
        <w:autoSpaceDE/>
        <w:autoSpaceDN/>
        <w:bidi w:val="0"/>
        <w:adjustRightInd/>
        <w:snapToGrid/>
        <w:spacing w:line="560" w:lineRule="exact"/>
        <w:ind w:firstLine="720" w:firstLineChars="200"/>
        <w:jc w:val="both"/>
        <w:textAlignment w:val="auto"/>
        <w:rPr>
          <w:rFonts w:hint="eastAsia" w:ascii="CESI黑体-GB2312" w:hAnsi="CESI黑体-GB2312" w:eastAsia="CESI黑体-GB2312" w:cs="CESI黑体-GB2312"/>
          <w:sz w:val="36"/>
          <w:szCs w:val="36"/>
          <w:lang w:eastAsia="zh-CN"/>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CESI黑体-GB2312" w:hAnsi="CESI黑体-GB2312" w:eastAsia="CESI黑体-GB2312" w:cs="CESI黑体-GB2312"/>
          <w:sz w:val="36"/>
          <w:szCs w:val="36"/>
          <w:lang w:eastAsia="zh-CN"/>
        </w:rPr>
      </w:pPr>
    </w:p>
    <w:p>
      <w:pPr>
        <w:pStyle w:val="2"/>
        <w:rPr>
          <w:rFonts w:hint="eastAsia" w:ascii="CESI黑体-GB2312" w:hAnsi="CESI黑体-GB2312" w:eastAsia="CESI黑体-GB2312" w:cs="CESI黑体-GB2312"/>
          <w:sz w:val="36"/>
          <w:szCs w:val="36"/>
          <w:lang w:eastAsia="zh-CN"/>
        </w:rPr>
      </w:pPr>
    </w:p>
    <w:p>
      <w:pPr>
        <w:rPr>
          <w:rFonts w:hint="eastAsia" w:ascii="CESI黑体-GB2312" w:hAnsi="CESI黑体-GB2312" w:eastAsia="CESI黑体-GB2312" w:cs="CESI黑体-GB2312"/>
          <w:sz w:val="36"/>
          <w:szCs w:val="36"/>
          <w:lang w:eastAsia="zh-CN"/>
        </w:rPr>
      </w:pPr>
    </w:p>
    <w:p>
      <w:pPr>
        <w:pStyle w:val="2"/>
        <w:rPr>
          <w:rFonts w:hint="eastAsia" w:ascii="CESI黑体-GB2312" w:hAnsi="CESI黑体-GB2312" w:eastAsia="CESI黑体-GB2312" w:cs="CESI黑体-GB2312"/>
          <w:sz w:val="36"/>
          <w:szCs w:val="36"/>
          <w:lang w:eastAsia="zh-CN"/>
        </w:rPr>
      </w:pPr>
    </w:p>
    <w:p>
      <w:pPr>
        <w:rPr>
          <w:rFonts w:hint="eastAsia" w:ascii="CESI黑体-GB2312" w:hAnsi="CESI黑体-GB2312" w:eastAsia="CESI黑体-GB2312" w:cs="CESI黑体-GB2312"/>
          <w:sz w:val="36"/>
          <w:szCs w:val="36"/>
          <w:lang w:eastAsia="zh-CN"/>
        </w:rPr>
      </w:pPr>
    </w:p>
    <w:p>
      <w:pPr>
        <w:pStyle w:val="2"/>
        <w:rPr>
          <w:rFonts w:hint="eastAsia" w:ascii="CESI黑体-GB2312" w:hAnsi="CESI黑体-GB2312" w:eastAsia="CESI黑体-GB2312" w:cs="CESI黑体-GB2312"/>
          <w:sz w:val="36"/>
          <w:szCs w:val="36"/>
          <w:lang w:eastAsia="zh-CN"/>
        </w:rPr>
      </w:pPr>
    </w:p>
    <w:p>
      <w:pPr>
        <w:rPr>
          <w:rFonts w:hint="eastAsia" w:ascii="CESI黑体-GB2312" w:hAnsi="CESI黑体-GB2312" w:eastAsia="CESI黑体-GB2312" w:cs="CESI黑体-GB2312"/>
          <w:sz w:val="36"/>
          <w:szCs w:val="36"/>
          <w:lang w:eastAsia="zh-CN"/>
        </w:rPr>
      </w:pPr>
    </w:p>
    <w:p>
      <w:pPr>
        <w:pStyle w:val="2"/>
        <w:rPr>
          <w:rFonts w:hint="eastAsia" w:ascii="CESI黑体-GB2312" w:hAnsi="CESI黑体-GB2312" w:eastAsia="CESI黑体-GB2312" w:cs="CESI黑体-GB2312"/>
          <w:sz w:val="36"/>
          <w:szCs w:val="36"/>
          <w:lang w:eastAsia="zh-CN"/>
        </w:rPr>
      </w:pPr>
    </w:p>
    <w:p>
      <w:pPr>
        <w:rPr>
          <w:rFonts w:hint="eastAsia" w:ascii="CESI黑体-GB2312" w:hAnsi="CESI黑体-GB2312" w:eastAsia="CESI黑体-GB2312" w:cs="CESI黑体-GB2312"/>
          <w:sz w:val="36"/>
          <w:szCs w:val="36"/>
          <w:lang w:eastAsia="zh-CN"/>
        </w:rPr>
      </w:pPr>
    </w:p>
    <w:p>
      <w:pPr>
        <w:pStyle w:val="2"/>
        <w:rPr>
          <w:rFonts w:hint="eastAsia" w:ascii="CESI黑体-GB2312" w:hAnsi="CESI黑体-GB2312" w:eastAsia="CESI黑体-GB2312" w:cs="CESI黑体-GB2312"/>
          <w:sz w:val="36"/>
          <w:szCs w:val="36"/>
          <w:lang w:eastAsia="zh-CN"/>
        </w:rPr>
      </w:pPr>
    </w:p>
    <w:p>
      <w:pPr>
        <w:rPr>
          <w:rFonts w:hint="eastAsia" w:ascii="CESI黑体-GB2312" w:hAnsi="CESI黑体-GB2312" w:eastAsia="CESI黑体-GB2312" w:cs="CESI黑体-GB2312"/>
          <w:sz w:val="36"/>
          <w:szCs w:val="36"/>
          <w:lang w:eastAsia="zh-CN"/>
        </w:rPr>
      </w:pPr>
    </w:p>
    <w:p>
      <w:pPr>
        <w:pStyle w:val="2"/>
        <w:rPr>
          <w:rFonts w:hint="eastAsia" w:ascii="CESI黑体-GB2312" w:hAnsi="CESI黑体-GB2312" w:eastAsia="CESI黑体-GB2312" w:cs="CESI黑体-GB2312"/>
          <w:sz w:val="36"/>
          <w:szCs w:val="36"/>
          <w:lang w:eastAsia="zh-CN"/>
        </w:rPr>
      </w:pPr>
    </w:p>
    <w:p>
      <w:pPr>
        <w:rPr>
          <w:rFonts w:hint="eastAsia" w:ascii="CESI黑体-GB2312" w:hAnsi="CESI黑体-GB2312" w:eastAsia="CESI黑体-GB2312" w:cs="CESI黑体-GB2312"/>
          <w:sz w:val="36"/>
          <w:szCs w:val="36"/>
          <w:lang w:eastAsia="zh-CN"/>
        </w:rPr>
      </w:pPr>
    </w:p>
    <w:p>
      <w:pPr>
        <w:pStyle w:val="2"/>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bookmarkEnd w:id="66"/>
    <w:p>
      <w:pPr>
        <w:pStyle w:val="18"/>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720" w:firstLineChars="200"/>
        <w:jc w:val="both"/>
        <w:rPr>
          <w:rFonts w:hint="eastAsia" w:ascii="CESI黑体-GB2312" w:hAnsi="CESI黑体-GB2312" w:eastAsia="CESI黑体-GB2312" w:cs="CESI黑体-GB2312"/>
          <w:kern w:val="2"/>
          <w:sz w:val="32"/>
          <w:szCs w:val="32"/>
          <w:lang w:val="en-US" w:eastAsia="zh-CN" w:bidi="ar-SA"/>
        </w:rPr>
      </w:pPr>
      <w:r>
        <w:rPr>
          <w:rFonts w:hint="eastAsia" w:ascii="CESI黑体-GB2312" w:hAnsi="CESI黑体-GB2312" w:eastAsia="CESI黑体-GB2312" w:cs="CESI黑体-GB2312"/>
          <w:kern w:val="2"/>
          <w:sz w:val="36"/>
          <w:szCs w:val="36"/>
          <w:lang w:val="en-US" w:eastAsia="zh-CN" w:bidi="ar-SA"/>
        </w:rPr>
        <w:t xml:space="preserve"> </w:t>
      </w:r>
      <w:r>
        <w:rPr>
          <w:rFonts w:hint="eastAsia" w:ascii="黑体" w:hAnsi="黑体" w:eastAsia="黑体" w:cs="CESI黑体-GB2312"/>
          <w:b w:val="0"/>
          <w:bCs w:val="0"/>
          <w:sz w:val="32"/>
          <w:szCs w:val="32"/>
          <w:lang w:eastAsia="zh-CN"/>
        </w:rPr>
        <w:t>聚焦区域金融安全</w:t>
      </w:r>
      <w:r>
        <w:rPr>
          <w:rFonts w:hint="eastAsia" w:ascii="黑体" w:hAnsi="黑体" w:eastAsia="黑体" w:cs="CESI黑体-GB2312"/>
          <w:b w:val="0"/>
          <w:bCs w:val="0"/>
          <w:sz w:val="32"/>
          <w:szCs w:val="32"/>
        </w:rPr>
        <w:t xml:space="preserve"> </w:t>
      </w:r>
      <w:r>
        <w:rPr>
          <w:rFonts w:hint="eastAsia" w:ascii="黑体" w:hAnsi="黑体" w:eastAsia="黑体" w:cs="CESI黑体-GB2312"/>
          <w:b w:val="0"/>
          <w:bCs w:val="0"/>
          <w:sz w:val="32"/>
          <w:szCs w:val="32"/>
          <w:lang w:eastAsia="zh-CN"/>
        </w:rPr>
        <w:t>实施金融防护工程</w:t>
      </w:r>
    </w:p>
    <w:p>
      <w:pPr>
        <w:pStyle w:val="1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Chars="200" w:right="0" w:rightChars="0"/>
        <w:jc w:val="both"/>
        <w:rPr>
          <w:rFonts w:hint="eastAsia" w:ascii="黑体" w:hAnsi="黑体" w:eastAsia="黑体" w:cs="CESI黑体-GB2312"/>
          <w:kern w:val="2"/>
          <w:sz w:val="36"/>
          <w:szCs w:val="36"/>
          <w:lang w:val="en-US" w:eastAsia="zh-CN" w:bidi="ar-SA"/>
        </w:rPr>
      </w:pP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jc w:val="center"/>
        <w:textAlignment w:val="auto"/>
        <w:rPr>
          <w:rFonts w:hint="eastAsia" w:ascii="CESI黑体-GB2312" w:hAnsi="CESI黑体-GB2312" w:eastAsia="CESI黑体-GB2312" w:cs="CESI黑体-GB2312"/>
          <w:b w:val="0"/>
          <w:bCs w:val="0"/>
          <w:snapToGrid w:val="0"/>
          <w:kern w:val="0"/>
          <w:sz w:val="32"/>
          <w:szCs w:val="32"/>
          <w:lang w:val="en-US" w:eastAsia="zh-CN" w:bidi="ar-SA"/>
        </w:rPr>
      </w:pPr>
      <w:r>
        <w:rPr>
          <w:rFonts w:hint="eastAsia" w:ascii="CESI黑体-GB2312" w:hAnsi="CESI黑体-GB2312" w:eastAsia="CESI黑体-GB2312" w:cs="CESI黑体-GB2312"/>
          <w:b w:val="0"/>
          <w:bCs w:val="0"/>
          <w:snapToGrid w:val="0"/>
          <w:kern w:val="0"/>
          <w:sz w:val="32"/>
          <w:szCs w:val="32"/>
          <w:lang w:val="en-US" w:eastAsia="zh-CN" w:bidi="ar-SA"/>
        </w:rPr>
        <w:t xml:space="preserve"> </w:t>
      </w:r>
      <w:bookmarkStart w:id="69" w:name="_Toc1602073166_WPSOffice_Level2"/>
      <w:r>
        <w:rPr>
          <w:rFonts w:hint="eastAsia" w:ascii="CESI黑体-GB2312" w:hAnsi="CESI黑体-GB2312" w:eastAsia="CESI黑体-GB2312" w:cs="CESI黑体-GB2312"/>
          <w:b w:val="0"/>
          <w:bCs w:val="0"/>
          <w:snapToGrid w:val="0"/>
          <w:kern w:val="0"/>
          <w:sz w:val="32"/>
          <w:szCs w:val="32"/>
          <w:lang w:val="en-US" w:eastAsia="zh-CN" w:bidi="ar-SA"/>
        </w:rPr>
        <w:t>健全完善风险监测预警机制</w:t>
      </w:r>
      <w:bookmarkEnd w:id="69"/>
    </w:p>
    <w:p>
      <w:pPr>
        <w:pStyle w:val="5"/>
        <w:numPr>
          <w:ilvl w:val="0"/>
          <w:numId w:val="0"/>
        </w:numPr>
        <w:rPr>
          <w:rFonts w:hint="eastAsia"/>
          <w:lang w:val="en-US" w:eastAsia="zh-CN"/>
        </w:rPr>
      </w:pPr>
    </w:p>
    <w:p>
      <w:pPr>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 w:hAnsi="仿宋" w:eastAsia="仿宋" w:cs="CESI仿宋-GB2312"/>
          <w:bCs/>
          <w:sz w:val="32"/>
          <w:szCs w:val="32"/>
          <w:lang w:eastAsia="zh-CN"/>
        </w:rPr>
        <w:t>坚持</w:t>
      </w:r>
      <w:r>
        <w:rPr>
          <w:rFonts w:hint="eastAsia" w:ascii="仿宋_GB2312" w:eastAsia="仿宋_GB2312" w:cs="Times New Roman"/>
          <w:b w:val="0"/>
          <w:bCs w:val="0"/>
          <w:i w:val="0"/>
          <w:iCs w:val="0"/>
          <w:color w:val="000000"/>
          <w:sz w:val="32"/>
          <w:szCs w:val="32"/>
          <w:lang w:val="en-US" w:eastAsia="zh-CN"/>
        </w:rPr>
        <w:t>“防范”为先，不断健全金融风险防控机制、强化大数据手段在风险监测领域的运用，</w:t>
      </w:r>
      <w:r>
        <w:rPr>
          <w:rFonts w:hint="default" w:ascii="仿宋_GB2312" w:eastAsia="仿宋_GB2312" w:cs="Times New Roman"/>
          <w:b w:val="0"/>
          <w:bCs w:val="0"/>
          <w:i w:val="0"/>
          <w:iCs w:val="0"/>
          <w:color w:val="000000"/>
          <w:sz w:val="32"/>
          <w:szCs w:val="32"/>
          <w:lang w:val="en-US" w:eastAsia="zh-CN"/>
        </w:rPr>
        <w:t>形成及时发现、准确研判、有效防控、责权明晰的风险防控体系。</w:t>
      </w:r>
    </w:p>
    <w:p>
      <w:pPr>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健全地方党政主要领导负责的金融风险防控处置机制。</w:t>
      </w:r>
      <w:r>
        <w:rPr>
          <w:rFonts w:hint="eastAsia" w:ascii="仿宋_GB2312" w:eastAsia="仿宋_GB2312" w:cs="Times New Roman"/>
          <w:b w:val="0"/>
          <w:bCs w:val="0"/>
          <w:i w:val="0"/>
          <w:iCs w:val="0"/>
          <w:color w:val="000000"/>
          <w:sz w:val="32"/>
          <w:szCs w:val="32"/>
          <w:lang w:val="en-US" w:eastAsia="zh-CN"/>
        </w:rPr>
        <w:t>强化金融风险防范化解，全面压紧压实区县属地责任、行业监管责任、金融机构主体责任。健全纵向议事协调机制，推进省市县三级工作联动，全面提升跨区域、跨层级系统处置能力。健全横向议事协调机制，建设地方金融监管、财政、公安、市场监管等相关部门共同参与的联合协作平台，提高跨行业协作水平，形成防范化解金融风险工作合力。</w:t>
      </w:r>
    </w:p>
    <w:p>
      <w:pPr>
        <w:pageBreakBefore w:val="0"/>
        <w:kinsoku/>
        <w:wordWrap/>
        <w:overflowPunct/>
        <w:topLinePunct w:val="0"/>
        <w:autoSpaceDE/>
        <w:autoSpaceDN/>
        <w:bidi w:val="0"/>
        <w:spacing w:line="560" w:lineRule="exact"/>
        <w:ind w:firstLine="643" w:firstLineChars="200"/>
        <w:textAlignment w:val="auto"/>
        <w:rPr>
          <w:rFonts w:ascii="仿宋" w:hAnsi="仿宋" w:eastAsia="仿宋" w:cs="CESI仿宋-GB2312"/>
          <w:bCs/>
          <w:sz w:val="32"/>
          <w:szCs w:val="32"/>
        </w:rPr>
      </w:pPr>
      <w:r>
        <w:rPr>
          <w:rFonts w:hint="eastAsia" w:ascii="仿宋_GB2312" w:eastAsia="仿宋_GB2312" w:cs="Times New Roman"/>
          <w:b/>
          <w:bCs/>
          <w:i w:val="0"/>
          <w:iCs w:val="0"/>
          <w:color w:val="000000"/>
          <w:sz w:val="32"/>
          <w:szCs w:val="32"/>
          <w:lang w:val="en-US" w:eastAsia="zh-CN"/>
        </w:rPr>
        <w:t>做好“金安工程”的建设与运用。</w:t>
      </w:r>
      <w:r>
        <w:rPr>
          <w:rFonts w:hint="eastAsia" w:ascii="仿宋_GB2312" w:eastAsia="仿宋_GB2312" w:cs="Times New Roman"/>
          <w:b w:val="0"/>
          <w:bCs w:val="0"/>
          <w:i w:val="0"/>
          <w:iCs w:val="0"/>
          <w:color w:val="000000"/>
          <w:sz w:val="32"/>
          <w:szCs w:val="32"/>
          <w:lang w:val="en-US" w:eastAsia="zh-CN"/>
        </w:rPr>
        <w:t>依托全省金融风险防控监测大数据平台，加强金融运行监测和重点领域风险研判，构建“数据跑路，部门研判，联合打击”的预警处置模式。积极探索重点企业流动性风险模块试点工作，通过构建科学合理金融风险监测指标体系及可量化的新金融特征风险模型，为企业进行“全息画像”，对金融风险进行实时动态监测分析。</w:t>
      </w:r>
    </w:p>
    <w:p>
      <w:pPr>
        <w:pageBreakBefore w:val="0"/>
        <w:widowControl/>
        <w:kinsoku/>
        <w:wordWrap/>
        <w:overflowPunct/>
        <w:topLinePunct w:val="0"/>
        <w:autoSpaceDE/>
        <w:autoSpaceDN/>
        <w:bidi w:val="0"/>
        <w:spacing w:line="560" w:lineRule="exact"/>
        <w:ind w:firstLine="643"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 w:hAnsi="仿宋" w:eastAsia="仿宋" w:cs="CESI仿宋-GB2312"/>
          <w:b/>
          <w:bCs/>
          <w:kern w:val="0"/>
          <w:sz w:val="32"/>
          <w:szCs w:val="32"/>
          <w:lang w:eastAsia="zh-CN"/>
        </w:rPr>
        <w:t>落地</w:t>
      </w:r>
      <w:r>
        <w:rPr>
          <w:rFonts w:hint="eastAsia" w:ascii="仿宋" w:hAnsi="仿宋" w:eastAsia="仿宋" w:cs="CESI仿宋-GB2312"/>
          <w:b/>
          <w:bCs/>
          <w:kern w:val="0"/>
          <w:sz w:val="32"/>
          <w:szCs w:val="32"/>
        </w:rPr>
        <w:t>地方金融运行动态监测系统</w:t>
      </w:r>
      <w:r>
        <w:rPr>
          <w:rFonts w:hint="eastAsia" w:ascii="仿宋" w:hAnsi="仿宋" w:eastAsia="仿宋" w:cs="CESI仿宋-GB2312"/>
          <w:b/>
          <w:bCs/>
          <w:kern w:val="0"/>
          <w:sz w:val="32"/>
          <w:szCs w:val="32"/>
          <w:lang w:eastAsia="zh-CN"/>
        </w:rPr>
        <w:t>。</w:t>
      </w:r>
      <w:r>
        <w:rPr>
          <w:rFonts w:hint="eastAsia" w:ascii="仿宋" w:hAnsi="仿宋" w:eastAsia="仿宋" w:cs="宋体"/>
          <w:color w:val="000000"/>
          <w:kern w:val="0"/>
          <w:sz w:val="32"/>
          <w:szCs w:val="32"/>
          <w:lang w:eastAsia="zh-CN" w:bidi="ar"/>
        </w:rPr>
        <w:t>推进中央驻聊</w:t>
      </w:r>
      <w:r>
        <w:rPr>
          <w:rFonts w:ascii="仿宋" w:hAnsi="仿宋" w:eastAsia="仿宋" w:cs="宋体"/>
          <w:color w:val="000000"/>
          <w:kern w:val="0"/>
          <w:sz w:val="32"/>
          <w:szCs w:val="32"/>
          <w:lang w:bidi="ar"/>
        </w:rPr>
        <w:t>金融</w:t>
      </w:r>
      <w:r>
        <w:rPr>
          <w:rFonts w:hint="eastAsia" w:ascii="仿宋" w:hAnsi="仿宋" w:eastAsia="仿宋" w:cs="宋体"/>
          <w:color w:val="000000"/>
          <w:kern w:val="0"/>
          <w:sz w:val="32"/>
          <w:szCs w:val="32"/>
          <w:lang w:eastAsia="zh-CN" w:bidi="ar"/>
        </w:rPr>
        <w:t>管理</w:t>
      </w:r>
      <w:r>
        <w:rPr>
          <w:rFonts w:ascii="仿宋" w:hAnsi="仿宋" w:eastAsia="仿宋" w:cs="宋体"/>
          <w:color w:val="000000"/>
          <w:kern w:val="0"/>
          <w:sz w:val="32"/>
          <w:szCs w:val="32"/>
          <w:lang w:bidi="ar"/>
        </w:rPr>
        <w:t>部门、</w:t>
      </w:r>
      <w:r>
        <w:rPr>
          <w:rFonts w:hint="eastAsia" w:ascii="仿宋" w:hAnsi="仿宋" w:eastAsia="仿宋" w:cs="宋体"/>
          <w:color w:val="000000"/>
          <w:kern w:val="0"/>
          <w:sz w:val="32"/>
          <w:szCs w:val="32"/>
          <w:lang w:eastAsia="zh-CN" w:bidi="ar"/>
        </w:rPr>
        <w:t>地方金融监管部门、</w:t>
      </w:r>
      <w:r>
        <w:rPr>
          <w:rFonts w:ascii="仿宋" w:hAnsi="仿宋" w:eastAsia="仿宋" w:cs="宋体"/>
          <w:color w:val="000000"/>
          <w:kern w:val="0"/>
          <w:sz w:val="32"/>
          <w:szCs w:val="32"/>
          <w:lang w:bidi="ar"/>
        </w:rPr>
        <w:t>财政部门、</w:t>
      </w:r>
      <w:r>
        <w:rPr>
          <w:rFonts w:hint="eastAsia" w:ascii="仿宋" w:hAnsi="仿宋" w:eastAsia="仿宋" w:cs="宋体"/>
          <w:color w:val="000000"/>
          <w:kern w:val="0"/>
          <w:sz w:val="32"/>
          <w:szCs w:val="32"/>
          <w:lang w:eastAsia="zh-CN" w:bidi="ar"/>
        </w:rPr>
        <w:t>科技</w:t>
      </w:r>
      <w:r>
        <w:rPr>
          <w:rFonts w:ascii="仿宋" w:hAnsi="仿宋" w:eastAsia="仿宋" w:cs="宋体"/>
          <w:color w:val="000000"/>
          <w:kern w:val="0"/>
          <w:sz w:val="32"/>
          <w:szCs w:val="32"/>
          <w:lang w:bidi="ar"/>
        </w:rPr>
        <w:t>部门等</w:t>
      </w:r>
      <w:r>
        <w:rPr>
          <w:rFonts w:hint="eastAsia" w:ascii="仿宋" w:hAnsi="仿宋" w:eastAsia="仿宋" w:cs="宋体"/>
          <w:color w:val="000000"/>
          <w:kern w:val="0"/>
          <w:sz w:val="32"/>
          <w:szCs w:val="32"/>
          <w:lang w:eastAsia="zh-CN" w:bidi="ar"/>
        </w:rPr>
        <w:t>部门间的</w:t>
      </w:r>
      <w:r>
        <w:rPr>
          <w:rFonts w:ascii="仿宋" w:hAnsi="仿宋" w:eastAsia="仿宋" w:cs="宋体"/>
          <w:color w:val="000000"/>
          <w:kern w:val="0"/>
          <w:sz w:val="32"/>
          <w:szCs w:val="32"/>
          <w:lang w:bidi="ar"/>
        </w:rPr>
        <w:t>数据共享，构建全面反映地方金融动态运行情况的“聊城指数”，</w:t>
      </w:r>
      <w:r>
        <w:rPr>
          <w:rFonts w:hint="eastAsia" w:ascii="仿宋" w:hAnsi="仿宋" w:eastAsia="仿宋" w:cs="宋体"/>
          <w:color w:val="000000"/>
          <w:kern w:val="0"/>
          <w:sz w:val="32"/>
          <w:szCs w:val="32"/>
          <w:lang w:eastAsia="zh-CN" w:bidi="ar"/>
        </w:rPr>
        <w:t>打造</w:t>
      </w:r>
      <w:r>
        <w:rPr>
          <w:rFonts w:ascii="仿宋" w:hAnsi="仿宋" w:eastAsia="仿宋" w:cs="宋体"/>
          <w:color w:val="000000"/>
          <w:kern w:val="0"/>
          <w:sz w:val="32"/>
          <w:szCs w:val="32"/>
          <w:lang w:bidi="ar"/>
        </w:rPr>
        <w:t>服务于集数据采集、数据分析、预警监测、结果运用、协同处置等多位一体的闭环管理系统，促进金融</w:t>
      </w:r>
      <w:r>
        <w:rPr>
          <w:rFonts w:hint="eastAsia" w:ascii="仿宋" w:hAnsi="仿宋" w:eastAsia="仿宋" w:cs="宋体"/>
          <w:color w:val="000000"/>
          <w:kern w:val="0"/>
          <w:sz w:val="32"/>
          <w:szCs w:val="32"/>
          <w:lang w:eastAsia="zh-CN" w:bidi="ar"/>
        </w:rPr>
        <w:t>运行分析</w:t>
      </w:r>
      <w:r>
        <w:rPr>
          <w:rFonts w:ascii="仿宋" w:hAnsi="仿宋" w:eastAsia="仿宋" w:cs="宋体"/>
          <w:color w:val="000000"/>
          <w:kern w:val="0"/>
          <w:sz w:val="32"/>
          <w:szCs w:val="32"/>
          <w:lang w:bidi="ar"/>
        </w:rPr>
        <w:t>标准化、流程化，实现</w:t>
      </w:r>
      <w:r>
        <w:rPr>
          <w:rFonts w:hint="eastAsia" w:ascii="仿宋" w:hAnsi="仿宋" w:eastAsia="仿宋" w:cs="宋体"/>
          <w:color w:val="000000"/>
          <w:kern w:val="0"/>
          <w:sz w:val="32"/>
          <w:szCs w:val="32"/>
          <w:lang w:eastAsia="zh-CN" w:bidi="ar"/>
        </w:rPr>
        <w:t>区域金融趋势</w:t>
      </w:r>
      <w:r>
        <w:rPr>
          <w:rFonts w:ascii="仿宋" w:hAnsi="仿宋" w:eastAsia="仿宋" w:cs="宋体"/>
          <w:color w:val="000000"/>
          <w:kern w:val="0"/>
          <w:sz w:val="32"/>
          <w:szCs w:val="32"/>
          <w:lang w:bidi="ar"/>
        </w:rPr>
        <w:t>早识别、早预警、早处置。</w:t>
      </w:r>
    </w:p>
    <w:p>
      <w:pPr>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完善重大金融风险应急预案体系。</w:t>
      </w:r>
      <w:r>
        <w:rPr>
          <w:rFonts w:hint="eastAsia" w:ascii="仿宋_GB2312" w:eastAsia="仿宋_GB2312" w:cs="Times New Roman"/>
          <w:b w:val="0"/>
          <w:bCs w:val="0"/>
          <w:i w:val="0"/>
          <w:iCs w:val="0"/>
          <w:color w:val="000000"/>
          <w:sz w:val="32"/>
          <w:szCs w:val="32"/>
          <w:lang w:val="en-US" w:eastAsia="zh-CN"/>
        </w:rPr>
        <w:t>建立健全突发金融风险总体和专项应急预案，完善各类突发事件应急响应处置程序和协调联动机制，确保重大风险爆发时能够得到安全、有效处置。按照平战结合原则，定期开展突发事件应急演练和应急处置法律法规教育培训，增强应急处置法治意识，提升依法预防突发事件、先期处置和快速反应能力和公共舆情应对能力。</w:t>
      </w:r>
    </w:p>
    <w:p>
      <w:pPr>
        <w:pStyle w:val="5"/>
        <w:rPr>
          <w:rFonts w:hint="eastAsia"/>
          <w:lang w:val="en-US" w:eastAsia="zh-CN"/>
        </w:rPr>
      </w:pP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CESI黑体-GB2312" w:hAnsi="CESI黑体-GB2312" w:eastAsia="CESI黑体-GB2312" w:cs="CESI黑体-GB2312"/>
          <w:b w:val="0"/>
          <w:bCs w:val="0"/>
          <w:snapToGrid w:val="0"/>
          <w:kern w:val="0"/>
          <w:sz w:val="32"/>
          <w:szCs w:val="32"/>
          <w:lang w:val="en-US" w:eastAsia="zh-CN" w:bidi="ar-SA"/>
        </w:rPr>
      </w:pPr>
      <w:r>
        <w:rPr>
          <w:rFonts w:hint="eastAsia" w:ascii="CESI黑体-GB2312" w:hAnsi="CESI黑体-GB2312" w:eastAsia="CESI黑体-GB2312" w:cs="CESI黑体-GB2312"/>
          <w:b w:val="0"/>
          <w:bCs w:val="0"/>
          <w:snapToGrid w:val="0"/>
          <w:kern w:val="0"/>
          <w:sz w:val="32"/>
          <w:szCs w:val="32"/>
          <w:lang w:val="en-US" w:eastAsia="zh-CN" w:bidi="ar-SA"/>
        </w:rPr>
        <w:t xml:space="preserve"> </w:t>
      </w:r>
      <w:bookmarkStart w:id="70" w:name="_Toc899523255_WPSOffice_Level2"/>
      <w:r>
        <w:rPr>
          <w:rFonts w:hint="eastAsia" w:ascii="CESI黑体-GB2312" w:hAnsi="CESI黑体-GB2312" w:eastAsia="CESI黑体-GB2312" w:cs="CESI黑体-GB2312"/>
          <w:b w:val="0"/>
          <w:bCs w:val="0"/>
          <w:snapToGrid w:val="0"/>
          <w:kern w:val="0"/>
          <w:sz w:val="32"/>
          <w:szCs w:val="32"/>
          <w:lang w:val="en-US" w:eastAsia="zh-CN" w:bidi="ar-SA"/>
        </w:rPr>
        <w:t>稳妥防范处置突出风险点</w:t>
      </w:r>
      <w:bookmarkEnd w:id="70"/>
    </w:p>
    <w:p>
      <w:pPr>
        <w:pStyle w:val="5"/>
        <w:numPr>
          <w:ilvl w:val="0"/>
          <w:numId w:val="0"/>
        </w:numPr>
        <w:ind w:leftChars="0"/>
        <w:rPr>
          <w:rFonts w:hint="eastAsia"/>
          <w:lang w:val="en-US" w:eastAsia="zh-CN"/>
        </w:rPr>
      </w:pP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val="0"/>
          <w:bCs w:val="0"/>
          <w:i w:val="0"/>
          <w:iCs w:val="0"/>
          <w:color w:val="000000"/>
          <w:sz w:val="32"/>
          <w:szCs w:val="32"/>
          <w:lang w:val="en-US" w:eastAsia="zh-CN"/>
        </w:rPr>
        <w:t>稳妥推进重点企业债务风险、担保圈风险处置，统筹推动重点金融机构风险化解，加强债券、互联网等领域风险的监测和排查，严厉打击非法金融活动，守住兜牢金融安全底线。</w:t>
      </w:r>
    </w:p>
    <w:p>
      <w:pPr>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持续压降金融机构不良资产。</w:t>
      </w:r>
      <w:r>
        <w:rPr>
          <w:rFonts w:hint="eastAsia" w:ascii="仿宋_GB2312" w:eastAsia="仿宋_GB2312" w:cs="Times New Roman"/>
          <w:b w:val="0"/>
          <w:bCs w:val="0"/>
          <w:i w:val="0"/>
          <w:iCs w:val="0"/>
          <w:color w:val="000000"/>
          <w:sz w:val="32"/>
          <w:szCs w:val="32"/>
          <w:lang w:val="en-US" w:eastAsia="zh-CN"/>
        </w:rPr>
        <w:t>推动全国性银行分支机构争取总行倾斜支持，通过核销、清收、以物抵债、批量转让、证券化等方式，加快不良资产处置。有效发挥债权人委员会作用，制定银行债委会自律惩戒办法，强化债委会刚性约束。稳妥推进高风险地方法人银行机构的风险化解，综合运用机构自主化解、政府协调处置以及上级政策争取等各项措施，推动重点地方法人机构尽快退出高风险机构名单。积极引入或建立资产管理公司，发挥其在不良资产收购处置、资产重组等方面的功能优势，盘活问题资产、救助问题企业。</w:t>
      </w:r>
    </w:p>
    <w:p>
      <w:pPr>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防范化解重点领域金融风险。</w:t>
      </w:r>
      <w:r>
        <w:rPr>
          <w:rFonts w:hint="eastAsia" w:ascii="仿宋_GB2312" w:eastAsia="仿宋_GB2312" w:cs="Times New Roman"/>
          <w:b w:val="0"/>
          <w:bCs w:val="0"/>
          <w:i w:val="0"/>
          <w:iCs w:val="0"/>
          <w:color w:val="000000"/>
          <w:sz w:val="32"/>
          <w:szCs w:val="32"/>
          <w:lang w:val="en-US" w:eastAsia="zh-CN"/>
        </w:rPr>
        <w:t>强化重点企业流动性风险防控。加强风险跟踪监测和分析研判，防范企业流动性风险。加强对重点担保圈风险监测，加快破圈断链，发挥好银行业金融机构债权人委员会作用，防止风险扩散。健全完善销号管理机制，及时动态调整风险名单。完善政府债务风险和债券违约风险防范机制，定期研判风险，及时预警提醒。规范上市公司治理和内部控制，提高信息披露质量，稳妥化解上市公司股票质押等风险。认真落实国家金融监管政策，严密防控互联网金融风险、维护私募基金行业秩序、强化地方交易场所监管。</w:t>
      </w:r>
    </w:p>
    <w:p>
      <w:pPr>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严厉打击非法金融活动。</w:t>
      </w:r>
      <w:r>
        <w:rPr>
          <w:rFonts w:hint="eastAsia" w:ascii="仿宋_GB2312" w:eastAsia="仿宋_GB2312" w:cs="Times New Roman"/>
          <w:b w:val="0"/>
          <w:bCs w:val="0"/>
          <w:i w:val="0"/>
          <w:iCs w:val="0"/>
          <w:color w:val="000000"/>
          <w:sz w:val="32"/>
          <w:szCs w:val="32"/>
          <w:lang w:val="en-US" w:eastAsia="zh-CN"/>
        </w:rPr>
        <w:t>深入落实《防范和打击非法集资条例》，建立健全行政执法体制机制，完善行政执法与刑事司法相衔接，提升案件处置效能。组织开展非法集资风险排查整治，优化非法集资举报奖励办法，开展非法集资“零发案”辖区创建活动，打造群防群治严密防线。持续开展P2P网络借贷风险专项整治，坚决防止已退出网贷业务死灰复燃，稳妥做好输入型机构风险处置。深入推进集体融资领域突出信访问题治理，坚决守住不发生大规模群体性事件底线。</w:t>
      </w:r>
    </w:p>
    <w:p>
      <w:pPr>
        <w:pStyle w:val="5"/>
        <w:rPr>
          <w:rFonts w:hint="eastAsia"/>
          <w:lang w:val="en-US" w:eastAsia="zh-CN"/>
        </w:rPr>
      </w:pPr>
    </w:p>
    <w:p>
      <w:pPr>
        <w:keepNext/>
        <w:keepLines/>
        <w:pageBreakBefore w:val="0"/>
        <w:widowControl w:val="0"/>
        <w:numPr>
          <w:ilvl w:val="0"/>
          <w:numId w:val="7"/>
        </w:numPr>
        <w:kinsoku/>
        <w:wordWrap/>
        <w:overflowPunct/>
        <w:topLinePunct w:val="0"/>
        <w:autoSpaceDE/>
        <w:autoSpaceDN/>
        <w:bidi w:val="0"/>
        <w:adjustRightInd/>
        <w:snapToGrid/>
        <w:spacing w:before="0" w:after="0" w:line="600" w:lineRule="exact"/>
        <w:ind w:left="0" w:leftChars="0" w:firstLine="0" w:firstLineChars="0"/>
        <w:jc w:val="center"/>
        <w:textAlignment w:val="auto"/>
        <w:outlineLvl w:val="0"/>
        <w:rPr>
          <w:rFonts w:hint="eastAsia" w:ascii="CESI黑体-GB2312" w:hAnsi="CESI黑体-GB2312" w:eastAsia="CESI黑体-GB2312" w:cs="CESI黑体-GB2312"/>
          <w:b w:val="0"/>
          <w:bCs/>
          <w:sz w:val="32"/>
          <w:szCs w:val="32"/>
          <w:lang w:eastAsia="zh-CN"/>
        </w:rPr>
      </w:pPr>
      <w:r>
        <w:rPr>
          <w:rFonts w:hint="eastAsia" w:ascii="CESI黑体-GB2312" w:hAnsi="CESI黑体-GB2312" w:eastAsia="CESI黑体-GB2312" w:cs="CESI黑体-GB2312"/>
          <w:b w:val="0"/>
          <w:bCs/>
          <w:sz w:val="32"/>
          <w:szCs w:val="32"/>
          <w:lang w:val="en-US" w:eastAsia="zh-CN"/>
        </w:rPr>
        <w:t xml:space="preserve"> </w:t>
      </w:r>
      <w:bookmarkStart w:id="71" w:name="_Toc1982700137_WPSOffice_Level2"/>
      <w:r>
        <w:rPr>
          <w:rFonts w:hint="eastAsia" w:ascii="CESI黑体-GB2312" w:hAnsi="CESI黑体-GB2312" w:eastAsia="CESI黑体-GB2312" w:cs="CESI黑体-GB2312"/>
          <w:b w:val="0"/>
          <w:bCs/>
          <w:sz w:val="32"/>
          <w:szCs w:val="32"/>
          <w:lang w:eastAsia="zh-CN"/>
        </w:rPr>
        <w:t>加强金融生态环境建设</w:t>
      </w:r>
      <w:bookmarkEnd w:id="71"/>
    </w:p>
    <w:p>
      <w:pPr>
        <w:pStyle w:val="5"/>
        <w:numPr>
          <w:ilvl w:val="0"/>
          <w:numId w:val="0"/>
        </w:numPr>
        <w:ind w:leftChars="0"/>
        <w:rPr>
          <w:rFonts w:hint="eastAsia"/>
          <w:lang w:eastAsia="zh-CN"/>
        </w:rPr>
      </w:pP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val="0"/>
          <w:bCs w:val="0"/>
          <w:i w:val="0"/>
          <w:iCs w:val="0"/>
          <w:color w:val="000000"/>
          <w:sz w:val="32"/>
          <w:szCs w:val="32"/>
          <w:lang w:val="en-US" w:eastAsia="zh-CN"/>
        </w:rPr>
        <w:t>突出金融法治建设，不断完善地方金融监管制度体系，完善政策、人才、舆论等环境，推进金融环境整治，打造诚实守信的良好金融生态环境。</w:t>
      </w:r>
    </w:p>
    <w:p>
      <w:pPr>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完善地方金融监管制度体系</w:t>
      </w:r>
      <w:r>
        <w:rPr>
          <w:rFonts w:hint="default" w:ascii="仿宋_GB2312" w:eastAsia="仿宋_GB2312" w:cs="Times New Roman"/>
          <w:b/>
          <w:bCs/>
          <w:i w:val="0"/>
          <w:iCs w:val="0"/>
          <w:color w:val="000000"/>
          <w:sz w:val="32"/>
          <w:szCs w:val="32"/>
          <w:lang w:val="en" w:eastAsia="zh-CN"/>
        </w:rPr>
        <w:t>。</w:t>
      </w:r>
      <w:r>
        <w:rPr>
          <w:rFonts w:hint="eastAsia" w:ascii="仿宋_GB2312" w:eastAsia="仿宋_GB2312" w:cs="Times New Roman"/>
          <w:b w:val="0"/>
          <w:bCs w:val="0"/>
          <w:i w:val="0"/>
          <w:iCs w:val="0"/>
          <w:color w:val="000000"/>
          <w:sz w:val="32"/>
          <w:szCs w:val="32"/>
          <w:lang w:val="en-US" w:eastAsia="zh-CN"/>
        </w:rPr>
        <w:t>落实行政执法“三项制度”，进一步强化金融法治队伍建设，规范行政执法工作,提高行政执法效率和执法水平。健全事中事后监管制度，制定完善配套监管细则，提升各类地方金融组织业务监管水平。进一步做好“互联网+监管”、网上政务能力提升、“好差评”等工作，提升监管信息化水平。</w:t>
      </w:r>
    </w:p>
    <w:p>
      <w:pPr>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加强金融消费者权益保护。</w:t>
      </w:r>
      <w:r>
        <w:rPr>
          <w:rFonts w:hint="eastAsia" w:ascii="仿宋_GB2312" w:eastAsia="仿宋_GB2312" w:cs="Times New Roman"/>
          <w:b w:val="0"/>
          <w:bCs w:val="0"/>
          <w:i w:val="0"/>
          <w:iCs w:val="0"/>
          <w:color w:val="000000"/>
          <w:sz w:val="32"/>
          <w:szCs w:val="32"/>
          <w:lang w:val="en-US" w:eastAsia="zh-CN"/>
        </w:rPr>
        <w:t>强化中央驻聊金融监管部门与地方金融监管部门的合作，加大对金融欺诈、内幕交易、制售假保单、骗保骗赔、披露虚假信息等金融违法失信行为的惩戒力度。畅通金融消费者投诉维权渠道，稳步推进金融纠纷多元化解决机制和现代化诉讼服务体系建设。推进金融行业自律管理，促进行业自我规范、自我管理、自我约束、自我完善、共同提高。</w:t>
      </w:r>
    </w:p>
    <w:p>
      <w:pPr>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营造良好金融法治环境。</w:t>
      </w:r>
      <w:r>
        <w:rPr>
          <w:rFonts w:hint="eastAsia" w:ascii="仿宋_GB2312" w:eastAsia="仿宋_GB2312" w:cs="Times New Roman"/>
          <w:b w:val="0"/>
          <w:bCs w:val="0"/>
          <w:i w:val="0"/>
          <w:iCs w:val="0"/>
          <w:color w:val="000000"/>
          <w:sz w:val="32"/>
          <w:szCs w:val="32"/>
          <w:lang w:val="en-US" w:eastAsia="zh-CN"/>
        </w:rPr>
        <w:t>健全跨部门、跨领域、跨地区的信用监管和联合奖惩机制，强化落实守信激励、失信惩戒的相关措施，坚决打击企业脱壳经营、隐匿和转移资产、故意欠息等各类恶意逃废金融债务行为。推进财税金融法庭建设，统一金融案件裁判标准和尺度，对金融案件进行集约化审理，进一步提升金融案件审判执行质效。</w:t>
      </w:r>
    </w:p>
    <w:p>
      <w:pPr>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bCs/>
          <w:i w:val="0"/>
          <w:iCs w:val="0"/>
          <w:color w:val="000000"/>
          <w:sz w:val="32"/>
          <w:szCs w:val="32"/>
          <w:lang w:val="en-US" w:eastAsia="zh-CN"/>
        </w:rPr>
        <w:t>强化金融宣传和舆论引导。</w:t>
      </w:r>
      <w:r>
        <w:rPr>
          <w:rFonts w:hint="eastAsia" w:ascii="仿宋_GB2312" w:eastAsia="仿宋_GB2312" w:cs="Times New Roman"/>
          <w:b w:val="0"/>
          <w:bCs w:val="0"/>
          <w:i w:val="0"/>
          <w:iCs w:val="0"/>
          <w:color w:val="000000"/>
          <w:sz w:val="32"/>
          <w:szCs w:val="32"/>
          <w:lang w:val="en-US" w:eastAsia="zh-CN"/>
        </w:rPr>
        <w:t>强化正面宣传，加强舆论引导，及时回应金融热点问题及群众关切，为聊城市金融业高质量发展营造良好舆论环境。多渠道推进金融知识普及，创新防范非法集资宣传形式，进一步提高人民群众法律、金融知识水平和风险识别能力。发掘金融典型经验和优秀案例，做好宣传复制推广。建立健全金融舆情风险防控机制，加强监测分析和跟踪研判，稳妥有效化解舆情风险。</w:t>
      </w:r>
      <w:bookmarkEnd w:id="30"/>
    </w:p>
    <w:p>
      <w:pPr>
        <w:pStyle w:val="5"/>
        <w:rPr>
          <w:rFonts w:ascii="仿宋" w:hAnsi="仿宋" w:eastAsia="仿宋" w:cs="CESI仿宋-GB2312"/>
          <w:bCs/>
          <w:kern w:val="0"/>
          <w:sz w:val="32"/>
          <w:szCs w:val="32"/>
          <w:highlight w:val="none"/>
        </w:rPr>
      </w:pPr>
    </w:p>
    <w:p>
      <w:pPr>
        <w:rPr>
          <w:rFonts w:hint="eastAsia"/>
          <w:lang w:eastAsia="zh-CN"/>
        </w:rPr>
      </w:pPr>
    </w:p>
    <w:p>
      <w:pPr>
        <w:pStyle w:val="5"/>
        <w:rPr>
          <w:rFonts w:hint="eastAsia"/>
          <w:lang w:eastAsia="zh-CN"/>
        </w:rPr>
      </w:pPr>
    </w:p>
    <w:p>
      <w:pPr>
        <w:rPr>
          <w:rFonts w:hint="eastAsia"/>
          <w:lang w:eastAsia="zh-CN"/>
        </w:rPr>
      </w:pPr>
    </w:p>
    <w:p>
      <w:pPr>
        <w:pStyle w:val="5"/>
        <w:rPr>
          <w:rFonts w:hint="eastAsia"/>
          <w:lang w:eastAsia="zh-CN"/>
        </w:rPr>
      </w:pPr>
    </w:p>
    <w:p>
      <w:pPr>
        <w:rPr>
          <w:rFonts w:hint="eastAsia"/>
          <w:lang w:eastAsia="zh-CN"/>
        </w:rPr>
      </w:pPr>
    </w:p>
    <w:p>
      <w:pPr>
        <w:pStyle w:val="5"/>
        <w:rPr>
          <w:rFonts w:hint="eastAsia"/>
          <w:lang w:eastAsia="zh-CN"/>
        </w:rPr>
      </w:pPr>
    </w:p>
    <w:p>
      <w:pPr>
        <w:rPr>
          <w:rFonts w:hint="eastAsia"/>
          <w:lang w:eastAsia="zh-CN"/>
        </w:rPr>
      </w:pPr>
    </w:p>
    <w:p>
      <w:pPr>
        <w:pStyle w:val="5"/>
        <w:rPr>
          <w:rFonts w:hint="eastAsia"/>
          <w:lang w:eastAsia="zh-CN"/>
        </w:rPr>
      </w:pPr>
    </w:p>
    <w:p>
      <w:pPr>
        <w:rPr>
          <w:rFonts w:hint="eastAsia"/>
          <w:lang w:eastAsia="zh-CN"/>
        </w:rPr>
      </w:pPr>
    </w:p>
    <w:p>
      <w:pPr>
        <w:pStyle w:val="5"/>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18"/>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720" w:firstLineChars="200"/>
        <w:jc w:val="both"/>
        <w:rPr>
          <w:rFonts w:hint="eastAsia" w:ascii="CESI黑体-GB2312" w:hAnsi="CESI黑体-GB2312" w:eastAsia="CESI黑体-GB2312" w:cs="CESI黑体-GB2312"/>
          <w:kern w:val="2"/>
          <w:sz w:val="36"/>
          <w:szCs w:val="36"/>
          <w:lang w:val="en-US" w:eastAsia="zh-CN" w:bidi="ar-SA"/>
        </w:rPr>
      </w:pPr>
      <w:r>
        <w:rPr>
          <w:rFonts w:hint="eastAsia" w:ascii="CESI黑体-GB2312" w:hAnsi="CESI黑体-GB2312" w:eastAsia="CESI黑体-GB2312" w:cs="CESI黑体-GB2312"/>
          <w:kern w:val="2"/>
          <w:sz w:val="36"/>
          <w:szCs w:val="36"/>
          <w:lang w:val="en-US" w:eastAsia="zh-CN" w:bidi="ar-SA"/>
        </w:rPr>
        <w:t xml:space="preserve"> </w:t>
      </w:r>
      <w:bookmarkStart w:id="72" w:name="_Toc1719679573_WPSOffice_Level1"/>
      <w:r>
        <w:rPr>
          <w:rFonts w:hint="eastAsia" w:ascii="CESI黑体-GB2312" w:hAnsi="CESI黑体-GB2312" w:eastAsia="CESI黑体-GB2312" w:cs="CESI黑体-GB2312"/>
          <w:kern w:val="2"/>
          <w:sz w:val="36"/>
          <w:szCs w:val="36"/>
          <w:lang w:val="en-US" w:eastAsia="zh-CN" w:bidi="ar-SA"/>
        </w:rPr>
        <w:t>加强规划实施保障 开创金融高质量发展新局面</w:t>
      </w:r>
      <w:bookmarkEnd w:id="72"/>
    </w:p>
    <w:p>
      <w:pPr>
        <w:pStyle w:val="5"/>
        <w:numPr>
          <w:ilvl w:val="0"/>
          <w:numId w:val="0"/>
        </w:numPr>
        <w:ind w:leftChars="200"/>
        <w:rPr>
          <w:rFonts w:hint="eastAsia"/>
        </w:rPr>
      </w:pPr>
    </w:p>
    <w:p>
      <w:pPr>
        <w:pageBreakBefore w:val="0"/>
        <w:widowControl w:val="0"/>
        <w:numPr>
          <w:ilvl w:val="0"/>
          <w:numId w:val="8"/>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napToGrid w:val="0"/>
          <w:kern w:val="0"/>
          <w:sz w:val="32"/>
          <w:szCs w:val="32"/>
          <w:lang w:val="en-US" w:eastAsia="zh-CN" w:bidi="ar-SA"/>
        </w:rPr>
      </w:pPr>
      <w:bookmarkStart w:id="73" w:name="_Toc1867030878_WPSOffice_Level2"/>
      <w:r>
        <w:rPr>
          <w:rFonts w:hint="eastAsia" w:ascii="黑体" w:hAnsi="黑体" w:eastAsia="黑体" w:cs="黑体"/>
          <w:b w:val="0"/>
          <w:bCs w:val="0"/>
          <w:snapToGrid w:val="0"/>
          <w:kern w:val="0"/>
          <w:sz w:val="32"/>
          <w:szCs w:val="32"/>
          <w:lang w:val="en-US" w:eastAsia="zh-CN" w:bidi="ar-SA"/>
        </w:rPr>
        <w:t>加强党对金融工作的领导</w:t>
      </w:r>
      <w:bookmarkEnd w:id="73"/>
    </w:p>
    <w:p>
      <w:pPr>
        <w:pStyle w:val="5"/>
        <w:numPr>
          <w:ilvl w:val="0"/>
          <w:numId w:val="0"/>
        </w:numPr>
        <w:rPr>
          <w:rFonts w:hint="eastAsia"/>
          <w:lang w:val="en-US" w:eastAsia="zh-CN"/>
        </w:rPr>
      </w:pP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val="0"/>
          <w:bCs w:val="0"/>
          <w:i w:val="0"/>
          <w:iCs w:val="0"/>
          <w:color w:val="000000"/>
          <w:sz w:val="32"/>
          <w:szCs w:val="32"/>
          <w:lang w:val="en-US" w:eastAsia="zh-CN"/>
        </w:rPr>
        <w:t>贯彻党把方向、谋大局、定政策、促改革的要求，把党的领导贯彻落实到规划实施的各领域和全过程，确保国家、省、市金融决策部署高效落地。推动党建和金融业务相互融合促进，切实发挥好基层党组织战斗堡垒和党员先锋模范作用，扎实服务企业、服务群众。将党的领导融入金融机构治理各环节，推进地方金融机构全面从严治党向纵深、向基层延伸。</w:t>
      </w:r>
    </w:p>
    <w:p>
      <w:pPr>
        <w:pStyle w:val="5"/>
        <w:rPr>
          <w:rFonts w:hint="eastAsia"/>
          <w:lang w:val="en-US" w:eastAsia="zh-CN"/>
        </w:rPr>
      </w:pPr>
    </w:p>
    <w:p>
      <w:pPr>
        <w:keepNext/>
        <w:keepLines/>
        <w:pageBreakBefore w:val="0"/>
        <w:widowControl w:val="0"/>
        <w:numPr>
          <w:ilvl w:val="0"/>
          <w:numId w:val="8"/>
        </w:numPr>
        <w:kinsoku/>
        <w:wordWrap/>
        <w:overflowPunct/>
        <w:topLinePunct w:val="0"/>
        <w:autoSpaceDE/>
        <w:autoSpaceDN/>
        <w:bidi w:val="0"/>
        <w:adjustRightInd/>
        <w:snapToGrid/>
        <w:spacing w:before="0" w:after="0" w:line="600" w:lineRule="exact"/>
        <w:ind w:left="0" w:leftChars="0" w:firstLine="0" w:firstLineChars="0"/>
        <w:jc w:val="center"/>
        <w:textAlignment w:val="auto"/>
        <w:outlineLvl w:val="0"/>
        <w:rPr>
          <w:rFonts w:hint="eastAsia" w:ascii="黑体" w:hAnsi="黑体" w:eastAsia="黑体" w:cs="黑体"/>
          <w:b w:val="0"/>
          <w:bCs w:val="0"/>
          <w:snapToGrid w:val="0"/>
          <w:kern w:val="0"/>
          <w:sz w:val="32"/>
          <w:szCs w:val="32"/>
          <w:lang w:val="en-US" w:eastAsia="zh-CN" w:bidi="ar-SA"/>
        </w:rPr>
      </w:pPr>
      <w:r>
        <w:rPr>
          <w:rFonts w:hint="eastAsia" w:ascii="黑体" w:hAnsi="黑体" w:eastAsia="黑体" w:cs="黑体"/>
          <w:b w:val="0"/>
          <w:bCs w:val="0"/>
          <w:snapToGrid w:val="0"/>
          <w:kern w:val="0"/>
          <w:sz w:val="32"/>
          <w:szCs w:val="32"/>
          <w:lang w:val="en-US" w:eastAsia="zh-CN" w:bidi="ar-SA"/>
        </w:rPr>
        <w:t xml:space="preserve"> </w:t>
      </w:r>
      <w:bookmarkStart w:id="74" w:name="_Toc1801910826_WPSOffice_Level2"/>
      <w:r>
        <w:rPr>
          <w:rFonts w:hint="eastAsia" w:ascii="黑体" w:hAnsi="黑体" w:eastAsia="黑体" w:cs="黑体"/>
          <w:b w:val="0"/>
          <w:bCs w:val="0"/>
          <w:snapToGrid w:val="0"/>
          <w:kern w:val="0"/>
          <w:sz w:val="32"/>
          <w:szCs w:val="32"/>
          <w:lang w:val="en-US" w:eastAsia="zh-CN" w:bidi="ar-SA"/>
        </w:rPr>
        <w:t>完善纵横结合的协调机制</w:t>
      </w:r>
      <w:bookmarkEnd w:id="74"/>
    </w:p>
    <w:p>
      <w:pPr>
        <w:pStyle w:val="5"/>
        <w:numPr>
          <w:ilvl w:val="0"/>
          <w:numId w:val="0"/>
        </w:numPr>
        <w:ind w:leftChars="0"/>
        <w:rPr>
          <w:rFonts w:hint="eastAsia"/>
          <w:lang w:val="en-US" w:eastAsia="zh-CN"/>
        </w:rPr>
      </w:pP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val="0"/>
          <w:bCs w:val="0"/>
          <w:i w:val="0"/>
          <w:iCs w:val="0"/>
          <w:color w:val="000000"/>
          <w:sz w:val="32"/>
          <w:szCs w:val="32"/>
          <w:lang w:val="en-US" w:eastAsia="zh-CN"/>
        </w:rPr>
        <w:t>强化金融政策与产业政策协同联动，加强中央和地方监管部门之间、金融部门与行业部门之间的数据传递、交换、整合和共享，健全高效有力的协调沟通和工作落实机制，放大集成效应效能。强化金融政策与财政政策协同联动，采取适当激励措施，疏通政策传导机制，引导和撬动金融资源流向经济社会发展重点领域和薄弱环节。</w:t>
      </w:r>
    </w:p>
    <w:p>
      <w:pPr>
        <w:pStyle w:val="5"/>
        <w:rPr>
          <w:rFonts w:hint="eastAsia"/>
          <w:lang w:val="en-US" w:eastAsia="zh-CN"/>
        </w:rPr>
      </w:pPr>
    </w:p>
    <w:p>
      <w:pPr>
        <w:keepNext w:val="0"/>
        <w:keepLines w:val="0"/>
        <w:pageBreakBefore w:val="0"/>
        <w:widowControl w:val="0"/>
        <w:numPr>
          <w:ilvl w:val="0"/>
          <w:numId w:val="8"/>
        </w:numPr>
        <w:kinsoku/>
        <w:wordWrap/>
        <w:overflowPunct/>
        <w:topLinePunct w:val="0"/>
        <w:autoSpaceDE/>
        <w:autoSpaceDN/>
        <w:bidi w:val="0"/>
        <w:adjustRightInd/>
        <w:snapToGrid/>
        <w:spacing w:before="0" w:after="0" w:line="600" w:lineRule="exact"/>
        <w:ind w:left="0" w:leftChars="0" w:firstLine="0" w:firstLineChars="0"/>
        <w:jc w:val="center"/>
        <w:textAlignment w:val="auto"/>
        <w:outlineLvl w:val="0"/>
        <w:rPr>
          <w:rFonts w:hint="eastAsia" w:ascii="黑体" w:hAnsi="黑体" w:eastAsia="黑体" w:cs="黑体"/>
          <w:b w:val="0"/>
          <w:bCs w:val="0"/>
          <w:snapToGrid w:val="0"/>
          <w:kern w:val="0"/>
          <w:sz w:val="32"/>
          <w:szCs w:val="32"/>
          <w:lang w:val="en-US" w:eastAsia="zh-CN" w:bidi="ar-SA"/>
        </w:rPr>
      </w:pPr>
      <w:r>
        <w:rPr>
          <w:rFonts w:hint="eastAsia" w:ascii="黑体" w:hAnsi="黑体" w:eastAsia="黑体" w:cs="黑体"/>
          <w:b w:val="0"/>
          <w:bCs w:val="0"/>
          <w:snapToGrid w:val="0"/>
          <w:kern w:val="0"/>
          <w:sz w:val="32"/>
          <w:szCs w:val="32"/>
          <w:lang w:val="en-US" w:eastAsia="zh-CN" w:bidi="ar-SA"/>
        </w:rPr>
        <w:t xml:space="preserve"> </w:t>
      </w:r>
      <w:bookmarkStart w:id="75" w:name="_Toc1784856696_WPSOffice_Level2"/>
      <w:r>
        <w:rPr>
          <w:rFonts w:hint="eastAsia" w:ascii="黑体" w:hAnsi="黑体" w:eastAsia="黑体" w:cs="黑体"/>
          <w:b w:val="0"/>
          <w:bCs w:val="0"/>
          <w:snapToGrid w:val="0"/>
          <w:kern w:val="0"/>
          <w:sz w:val="32"/>
          <w:szCs w:val="32"/>
          <w:lang w:val="en-US" w:eastAsia="zh-CN" w:bidi="ar-SA"/>
        </w:rPr>
        <w:t>筑牢金融人才保障基础</w:t>
      </w:r>
      <w:bookmarkEnd w:id="75"/>
    </w:p>
    <w:p>
      <w:pPr>
        <w:pStyle w:val="5"/>
        <w:numPr>
          <w:ilvl w:val="0"/>
          <w:numId w:val="0"/>
        </w:numPr>
        <w:ind w:left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val="0"/>
          <w:bCs w:val="0"/>
          <w:i w:val="0"/>
          <w:iCs w:val="0"/>
          <w:color w:val="000000"/>
          <w:sz w:val="32"/>
          <w:szCs w:val="32"/>
          <w:lang w:val="en-US" w:eastAsia="zh-CN"/>
        </w:rPr>
        <w:t>健全地方金融监管体系，充实监管队伍，开展系统化专业培训，打造高素质金融监管队伍。加强金融多层次人才队伍建设，完善涵盖金融高端人才、创新型人才、专业技能型人才的人才引育留用机制。制定金融人才培养计划，建立金融产学研之间良性互动机制，提升金融竞争软实力。实施新时代干部队伍金融专业能力提升工程，通过多元化的培训培育方式，着力增强广大党员干部金融知识素养。</w:t>
      </w:r>
    </w:p>
    <w:p>
      <w:pPr>
        <w:pStyle w:val="5"/>
        <w:rPr>
          <w:rFonts w:hint="eastAsia"/>
          <w:lang w:val="en-US" w:eastAsia="zh-CN"/>
        </w:rPr>
      </w:pPr>
    </w:p>
    <w:p>
      <w:pPr>
        <w:keepNext/>
        <w:keepLines/>
        <w:pageBreakBefore w:val="0"/>
        <w:widowControl w:val="0"/>
        <w:numPr>
          <w:ilvl w:val="0"/>
          <w:numId w:val="8"/>
        </w:numPr>
        <w:kinsoku/>
        <w:wordWrap/>
        <w:overflowPunct/>
        <w:topLinePunct w:val="0"/>
        <w:autoSpaceDE/>
        <w:autoSpaceDN/>
        <w:bidi w:val="0"/>
        <w:adjustRightInd/>
        <w:snapToGrid/>
        <w:spacing w:before="0" w:after="0" w:line="600" w:lineRule="exact"/>
        <w:ind w:left="0" w:leftChars="0" w:firstLine="0" w:firstLineChars="0"/>
        <w:jc w:val="center"/>
        <w:textAlignment w:val="auto"/>
        <w:outlineLvl w:val="0"/>
        <w:rPr>
          <w:rFonts w:hint="eastAsia" w:ascii="黑体" w:hAnsi="黑体" w:eastAsia="黑体" w:cs="黑体"/>
          <w:b w:val="0"/>
          <w:bCs w:val="0"/>
          <w:snapToGrid w:val="0"/>
          <w:kern w:val="0"/>
          <w:sz w:val="32"/>
          <w:szCs w:val="32"/>
          <w:lang w:val="en-US" w:eastAsia="zh-CN" w:bidi="ar-SA"/>
        </w:rPr>
      </w:pPr>
      <w:r>
        <w:rPr>
          <w:rFonts w:hint="eastAsia" w:ascii="黑体" w:hAnsi="黑体" w:eastAsia="黑体" w:cs="黑体"/>
          <w:b w:val="0"/>
          <w:bCs w:val="0"/>
          <w:snapToGrid w:val="0"/>
          <w:kern w:val="0"/>
          <w:sz w:val="32"/>
          <w:szCs w:val="32"/>
          <w:lang w:val="en-US" w:eastAsia="zh-CN" w:bidi="ar-SA"/>
        </w:rPr>
        <w:t xml:space="preserve"> </w:t>
      </w:r>
      <w:bookmarkStart w:id="76" w:name="_Toc2118353846_WPSOffice_Level2"/>
      <w:r>
        <w:rPr>
          <w:rFonts w:hint="eastAsia" w:ascii="黑体" w:hAnsi="黑体" w:eastAsia="黑体" w:cs="黑体"/>
          <w:b w:val="0"/>
          <w:bCs w:val="0"/>
          <w:snapToGrid w:val="0"/>
          <w:kern w:val="0"/>
          <w:sz w:val="32"/>
          <w:szCs w:val="32"/>
          <w:lang w:val="en-US" w:eastAsia="zh-CN" w:bidi="ar-SA"/>
        </w:rPr>
        <w:t>完善规划实施机制</w:t>
      </w:r>
      <w:bookmarkEnd w:id="76"/>
    </w:p>
    <w:p>
      <w:pPr>
        <w:pStyle w:val="5"/>
        <w:numPr>
          <w:ilvl w:val="0"/>
          <w:numId w:val="0"/>
        </w:numPr>
        <w:ind w:leftChars="0"/>
        <w:rPr>
          <w:rFonts w:hint="eastAsia"/>
          <w:lang w:val="en-US" w:eastAsia="zh-CN"/>
        </w:rPr>
      </w:pP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Times New Roman"/>
          <w:b w:val="0"/>
          <w:bCs w:val="0"/>
          <w:i w:val="0"/>
          <w:iCs w:val="0"/>
          <w:color w:val="000000"/>
          <w:sz w:val="32"/>
          <w:szCs w:val="32"/>
          <w:lang w:val="en-US" w:eastAsia="zh-CN"/>
        </w:rPr>
      </w:pPr>
      <w:r>
        <w:rPr>
          <w:rFonts w:hint="eastAsia" w:ascii="仿宋_GB2312" w:eastAsia="仿宋_GB2312" w:cs="Times New Roman"/>
          <w:b w:val="0"/>
          <w:bCs w:val="0"/>
          <w:i w:val="0"/>
          <w:iCs w:val="0"/>
          <w:color w:val="000000"/>
          <w:sz w:val="32"/>
          <w:szCs w:val="32"/>
          <w:lang w:val="en-US" w:eastAsia="zh-CN"/>
        </w:rPr>
        <w:t>加强金融年度计划与金融规划的衔接，开展对培训指标和政策措施的跟踪督导，做好对规划的阶段性评估，及时解决规划执行中出现的问题，合理调整规划目标任务和重点工程。将规划实施情况作为政务公开重要内容，及时公布实施进展，主动接受监督。</w:t>
      </w:r>
    </w:p>
    <w:p>
      <w:pPr>
        <w:widowControl/>
        <w:spacing w:line="360" w:lineRule="auto"/>
        <w:jc w:val="left"/>
        <w:rPr>
          <w:rFonts w:ascii="仿宋" w:hAnsi="仿宋" w:eastAsia="仿宋"/>
          <w:sz w:val="28"/>
          <w:szCs w:val="28"/>
        </w:rPr>
      </w:pPr>
    </w:p>
    <w:sectPr>
      <w:footerReference r:id="rId9" w:type="default"/>
      <w:pgSz w:w="11900" w:h="16840"/>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SimSun-ExtB">
    <w:panose1 w:val="02010609060101010101"/>
    <w:charset w:val="86"/>
    <w:family w:val="modern"/>
    <w:pitch w:val="default"/>
    <w:sig w:usb0="00000001" w:usb1="02000000" w:usb2="00000000"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ESI黑体-GB2312">
    <w:altName w:val="黑体"/>
    <w:panose1 w:val="02000500000000000000"/>
    <w:charset w:val="86"/>
    <w:family w:val="auto"/>
    <w:pitch w:val="default"/>
    <w:sig w:usb0="00000000" w:usb1="00000000" w:usb2="00000012" w:usb3="00000000" w:csb0="0004000F" w:csb1="00000000"/>
  </w:font>
  <w:font w:name="CESI楷体-GB2312">
    <w:altName w:val="楷体_GB2312"/>
    <w:panose1 w:val="02000500000000000000"/>
    <w:charset w:val="86"/>
    <w:family w:val="auto"/>
    <w:pitch w:val="default"/>
    <w:sig w:usb0="00000000" w:usb1="00000000" w:usb2="00000012" w:usb3="00000000" w:csb0="0004000F" w:csb1="00000000"/>
  </w:font>
  <w:font w:name="楷体_GB2312">
    <w:panose1 w:val="02010609030101010101"/>
    <w:charset w:val="86"/>
    <w:family w:val="auto"/>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楷体">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auto"/>
    <w:pitch w:val="default"/>
    <w:sig w:usb0="00000000" w:usb1="00000000" w:usb2="00000000" w:usb3="00000000" w:csb0="0000019F" w:csb1="00000000"/>
  </w:font>
  <w:font w:name="华文楷体">
    <w:altName w:val="楷体_GB2312"/>
    <w:panose1 w:val="02010600040101010101"/>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sdt>
      <w:sdtPr>
        <w:id w:val="-1892497571"/>
      </w:sdtPr>
      <w:sdtContent/>
    </w:sdt>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23"/>
      </w:rPr>
      <w:id w:val="-2052062489"/>
    </w:sdtPr>
    <w:sdtEndPr>
      <w:rPr>
        <w:rStyle w:val="23"/>
      </w:rPr>
    </w:sdtEndPr>
    <w:sdtContent>
      <w:p>
        <w:pPr>
          <w:pStyle w:val="13"/>
          <w:framePr w:wrap="auto" w:vAnchor="text" w:hAnchor="margin" w:xAlign="center" w:y="1"/>
          <w:rPr>
            <w:rStyle w:val="23"/>
          </w:rPr>
        </w:pPr>
        <w:r>
          <w:rPr>
            <w:rStyle w:val="23"/>
          </w:rPr>
          <w:fldChar w:fldCharType="begin"/>
        </w:r>
        <w:r>
          <w:rPr>
            <w:rStyle w:val="23"/>
          </w:rPr>
          <w:instrText xml:space="preserve"> PAGE </w:instrText>
        </w:r>
        <w:r>
          <w:rPr>
            <w:rStyle w:val="23"/>
          </w:rPr>
          <w:fldChar w:fldCharType="end"/>
        </w:r>
      </w:p>
    </w:sdtContent>
  </w:sdt>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sdt>
      <w:sdtPr>
        <w:id w:val="-1040664634"/>
      </w:sdtP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40</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3"/>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40</w:t>
                    </w:r>
                    <w:r>
                      <w:rPr>
                        <w:rFonts w:ascii="Times New Roman" w:hAnsi="Times New Roman" w:cs="Times New Roman"/>
                      </w:rPr>
                      <w:fldChar w:fldCharType="end"/>
                    </w:r>
                  </w:p>
                </w:txbxContent>
              </v:textbox>
            </v:shape>
          </w:pict>
        </mc:Fallback>
      </mc:AlternateContent>
    </w:r>
    <w:sdt>
      <w:sdtPr>
        <w:id w:val="-1931259418"/>
      </w:sdtP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BE334F"/>
    <w:multiLevelType w:val="singleLevel"/>
    <w:tmpl w:val="BBBE334F"/>
    <w:lvl w:ilvl="0" w:tentative="0">
      <w:start w:val="1"/>
      <w:numFmt w:val="chineseCounting"/>
      <w:suff w:val="space"/>
      <w:lvlText w:val="第%1部分"/>
      <w:lvlJc w:val="left"/>
      <w:pPr>
        <w:ind w:left="720" w:leftChars="0" w:firstLine="0" w:firstLineChars="0"/>
      </w:pPr>
      <w:rPr>
        <w:rFonts w:hint="eastAsia"/>
      </w:rPr>
    </w:lvl>
  </w:abstractNum>
  <w:abstractNum w:abstractNumId="1">
    <w:nsid w:val="BCEBF96A"/>
    <w:multiLevelType w:val="singleLevel"/>
    <w:tmpl w:val="BCEBF96A"/>
    <w:lvl w:ilvl="0" w:tentative="0">
      <w:start w:val="1"/>
      <w:numFmt w:val="chineseCounting"/>
      <w:suff w:val="space"/>
      <w:lvlText w:val="第%1节"/>
      <w:lvlJc w:val="left"/>
      <w:rPr>
        <w:rFonts w:hint="eastAsia"/>
      </w:rPr>
    </w:lvl>
  </w:abstractNum>
  <w:abstractNum w:abstractNumId="2">
    <w:nsid w:val="D7F79DCB"/>
    <w:multiLevelType w:val="singleLevel"/>
    <w:tmpl w:val="D7F79DCB"/>
    <w:lvl w:ilvl="0" w:tentative="0">
      <w:start w:val="1"/>
      <w:numFmt w:val="chineseCounting"/>
      <w:suff w:val="space"/>
      <w:lvlText w:val="第%1节"/>
      <w:lvlJc w:val="left"/>
      <w:rPr>
        <w:rFonts w:hint="eastAsia"/>
      </w:rPr>
    </w:lvl>
  </w:abstractNum>
  <w:abstractNum w:abstractNumId="3">
    <w:nsid w:val="F7BD60AD"/>
    <w:multiLevelType w:val="singleLevel"/>
    <w:tmpl w:val="F7BD60AD"/>
    <w:lvl w:ilvl="0" w:tentative="0">
      <w:start w:val="1"/>
      <w:numFmt w:val="chineseCounting"/>
      <w:suff w:val="space"/>
      <w:lvlText w:val="第%1节"/>
      <w:lvlJc w:val="left"/>
      <w:rPr>
        <w:rFonts w:hint="eastAsia"/>
      </w:rPr>
    </w:lvl>
  </w:abstractNum>
  <w:abstractNum w:abstractNumId="4">
    <w:nsid w:val="FDDE0B36"/>
    <w:multiLevelType w:val="singleLevel"/>
    <w:tmpl w:val="FDDE0B36"/>
    <w:lvl w:ilvl="0" w:tentative="0">
      <w:start w:val="1"/>
      <w:numFmt w:val="chineseCounting"/>
      <w:suff w:val="space"/>
      <w:lvlText w:val="第%1节"/>
      <w:lvlJc w:val="left"/>
      <w:rPr>
        <w:rFonts w:hint="eastAsia"/>
      </w:rPr>
    </w:lvl>
  </w:abstractNum>
  <w:abstractNum w:abstractNumId="5">
    <w:nsid w:val="4EFD6E6F"/>
    <w:multiLevelType w:val="singleLevel"/>
    <w:tmpl w:val="4EFD6E6F"/>
    <w:lvl w:ilvl="0" w:tentative="0">
      <w:start w:val="1"/>
      <w:numFmt w:val="chineseCounting"/>
      <w:suff w:val="space"/>
      <w:lvlText w:val="第%1节"/>
      <w:lvlJc w:val="left"/>
      <w:rPr>
        <w:rFonts w:hint="eastAsia"/>
      </w:rPr>
    </w:lvl>
  </w:abstractNum>
  <w:abstractNum w:abstractNumId="6">
    <w:nsid w:val="6BF7CE59"/>
    <w:multiLevelType w:val="singleLevel"/>
    <w:tmpl w:val="6BF7CE59"/>
    <w:lvl w:ilvl="0" w:tentative="0">
      <w:start w:val="1"/>
      <w:numFmt w:val="chineseCounting"/>
      <w:suff w:val="space"/>
      <w:lvlText w:val="第%1节"/>
      <w:lvlJc w:val="left"/>
      <w:rPr>
        <w:rFonts w:hint="eastAsia"/>
      </w:rPr>
    </w:lvl>
  </w:abstractNum>
  <w:abstractNum w:abstractNumId="7">
    <w:nsid w:val="735AB904"/>
    <w:multiLevelType w:val="singleLevel"/>
    <w:tmpl w:val="735AB904"/>
    <w:lvl w:ilvl="0" w:tentative="0">
      <w:start w:val="5"/>
      <w:numFmt w:val="chineseCounting"/>
      <w:suff w:val="space"/>
      <w:lvlText w:val="第%1部分"/>
      <w:lvlJc w:val="left"/>
      <w:rPr>
        <w:rFonts w:hint="eastAsia"/>
      </w:rPr>
    </w:lvl>
  </w:abstractNum>
  <w:num w:numId="1">
    <w:abstractNumId w:val="0"/>
  </w:num>
  <w:num w:numId="2">
    <w:abstractNumId w:val="3"/>
  </w:num>
  <w:num w:numId="3">
    <w:abstractNumId w:val="1"/>
  </w:num>
  <w:num w:numId="4">
    <w:abstractNumId w:val="5"/>
  </w:num>
  <w:num w:numId="5">
    <w:abstractNumId w:val="2"/>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zNjkwYjY0ZTVkOTllOTFmNmJlMjI1ZTJmNjRjZjUifQ=="/>
  </w:docVars>
  <w:rsids>
    <w:rsidRoot w:val="00DA4858"/>
    <w:rsid w:val="00003ED4"/>
    <w:rsid w:val="00007397"/>
    <w:rsid w:val="00012BCB"/>
    <w:rsid w:val="00016FFE"/>
    <w:rsid w:val="000203EC"/>
    <w:rsid w:val="0002413A"/>
    <w:rsid w:val="0004174C"/>
    <w:rsid w:val="000533DC"/>
    <w:rsid w:val="00053FF2"/>
    <w:rsid w:val="000576FA"/>
    <w:rsid w:val="00061353"/>
    <w:rsid w:val="000631AB"/>
    <w:rsid w:val="00063689"/>
    <w:rsid w:val="00070868"/>
    <w:rsid w:val="000715E8"/>
    <w:rsid w:val="0007671E"/>
    <w:rsid w:val="00080E31"/>
    <w:rsid w:val="00081A80"/>
    <w:rsid w:val="00083CA6"/>
    <w:rsid w:val="000862F2"/>
    <w:rsid w:val="00086F51"/>
    <w:rsid w:val="0009107A"/>
    <w:rsid w:val="00092628"/>
    <w:rsid w:val="000A17FC"/>
    <w:rsid w:val="000A2A00"/>
    <w:rsid w:val="000A7ACB"/>
    <w:rsid w:val="000B2975"/>
    <w:rsid w:val="000B3C66"/>
    <w:rsid w:val="000D015B"/>
    <w:rsid w:val="000D360B"/>
    <w:rsid w:val="000E29CC"/>
    <w:rsid w:val="000E2C4B"/>
    <w:rsid w:val="000E7F58"/>
    <w:rsid w:val="000F295D"/>
    <w:rsid w:val="00100D3D"/>
    <w:rsid w:val="00111E21"/>
    <w:rsid w:val="0012024F"/>
    <w:rsid w:val="00121667"/>
    <w:rsid w:val="00123D5B"/>
    <w:rsid w:val="00123F97"/>
    <w:rsid w:val="001255DF"/>
    <w:rsid w:val="00133C73"/>
    <w:rsid w:val="001368F3"/>
    <w:rsid w:val="001373D8"/>
    <w:rsid w:val="00141523"/>
    <w:rsid w:val="001422AD"/>
    <w:rsid w:val="0014588C"/>
    <w:rsid w:val="001508D2"/>
    <w:rsid w:val="001574C4"/>
    <w:rsid w:val="00160C5A"/>
    <w:rsid w:val="00164C0A"/>
    <w:rsid w:val="001668A6"/>
    <w:rsid w:val="00170E35"/>
    <w:rsid w:val="0017206C"/>
    <w:rsid w:val="00172AB5"/>
    <w:rsid w:val="0017390C"/>
    <w:rsid w:val="00177470"/>
    <w:rsid w:val="00181582"/>
    <w:rsid w:val="00184910"/>
    <w:rsid w:val="00185A74"/>
    <w:rsid w:val="001950A7"/>
    <w:rsid w:val="00197244"/>
    <w:rsid w:val="001A14BB"/>
    <w:rsid w:val="001A15EA"/>
    <w:rsid w:val="001A6504"/>
    <w:rsid w:val="001B0148"/>
    <w:rsid w:val="001C2C5D"/>
    <w:rsid w:val="001C790D"/>
    <w:rsid w:val="001D06A1"/>
    <w:rsid w:val="001D09F6"/>
    <w:rsid w:val="001E40FC"/>
    <w:rsid w:val="001F5E66"/>
    <w:rsid w:val="001F6F3A"/>
    <w:rsid w:val="001F7040"/>
    <w:rsid w:val="002041DB"/>
    <w:rsid w:val="00212237"/>
    <w:rsid w:val="00212983"/>
    <w:rsid w:val="00216728"/>
    <w:rsid w:val="00222794"/>
    <w:rsid w:val="002230FE"/>
    <w:rsid w:val="002232E9"/>
    <w:rsid w:val="00225981"/>
    <w:rsid w:val="00230AFD"/>
    <w:rsid w:val="00242572"/>
    <w:rsid w:val="00244738"/>
    <w:rsid w:val="00244EFB"/>
    <w:rsid w:val="00250625"/>
    <w:rsid w:val="00253EDB"/>
    <w:rsid w:val="0025703A"/>
    <w:rsid w:val="00257555"/>
    <w:rsid w:val="00260E40"/>
    <w:rsid w:val="00262A83"/>
    <w:rsid w:val="00264ADF"/>
    <w:rsid w:val="002678C6"/>
    <w:rsid w:val="002705C3"/>
    <w:rsid w:val="002709EE"/>
    <w:rsid w:val="00273D2E"/>
    <w:rsid w:val="00274582"/>
    <w:rsid w:val="0028058A"/>
    <w:rsid w:val="00284AF3"/>
    <w:rsid w:val="00290CFD"/>
    <w:rsid w:val="00292219"/>
    <w:rsid w:val="00296A1E"/>
    <w:rsid w:val="002A2D81"/>
    <w:rsid w:val="002A43BA"/>
    <w:rsid w:val="002A66E8"/>
    <w:rsid w:val="002B5DB4"/>
    <w:rsid w:val="002B7DEA"/>
    <w:rsid w:val="002C0F1B"/>
    <w:rsid w:val="002C6114"/>
    <w:rsid w:val="002D3DF1"/>
    <w:rsid w:val="002D4D1D"/>
    <w:rsid w:val="002E09E9"/>
    <w:rsid w:val="002E0F00"/>
    <w:rsid w:val="002E3C7E"/>
    <w:rsid w:val="002E700F"/>
    <w:rsid w:val="002E7C94"/>
    <w:rsid w:val="002F00C0"/>
    <w:rsid w:val="002F2467"/>
    <w:rsid w:val="002F3214"/>
    <w:rsid w:val="002F6448"/>
    <w:rsid w:val="00304CB2"/>
    <w:rsid w:val="00310892"/>
    <w:rsid w:val="00324DBF"/>
    <w:rsid w:val="003338E2"/>
    <w:rsid w:val="00336396"/>
    <w:rsid w:val="00336CAC"/>
    <w:rsid w:val="00343793"/>
    <w:rsid w:val="003534AE"/>
    <w:rsid w:val="00356683"/>
    <w:rsid w:val="003630B5"/>
    <w:rsid w:val="003654AC"/>
    <w:rsid w:val="00370316"/>
    <w:rsid w:val="003711A1"/>
    <w:rsid w:val="00377EC9"/>
    <w:rsid w:val="003803AC"/>
    <w:rsid w:val="00380509"/>
    <w:rsid w:val="00380FA7"/>
    <w:rsid w:val="00383166"/>
    <w:rsid w:val="00392614"/>
    <w:rsid w:val="003940AF"/>
    <w:rsid w:val="003943CD"/>
    <w:rsid w:val="0039677C"/>
    <w:rsid w:val="003A36D7"/>
    <w:rsid w:val="003A6709"/>
    <w:rsid w:val="003B0DC5"/>
    <w:rsid w:val="003B2A3A"/>
    <w:rsid w:val="003C10C4"/>
    <w:rsid w:val="003C17CD"/>
    <w:rsid w:val="003C4055"/>
    <w:rsid w:val="003C6647"/>
    <w:rsid w:val="003D2B17"/>
    <w:rsid w:val="003D4196"/>
    <w:rsid w:val="003D4A68"/>
    <w:rsid w:val="003D5F44"/>
    <w:rsid w:val="003D60C4"/>
    <w:rsid w:val="003E44F4"/>
    <w:rsid w:val="003E5AC7"/>
    <w:rsid w:val="003E628C"/>
    <w:rsid w:val="003E6CF5"/>
    <w:rsid w:val="003F1DFF"/>
    <w:rsid w:val="003F2661"/>
    <w:rsid w:val="003F38A0"/>
    <w:rsid w:val="00400414"/>
    <w:rsid w:val="00402FDB"/>
    <w:rsid w:val="0040306E"/>
    <w:rsid w:val="00404D65"/>
    <w:rsid w:val="00406C6F"/>
    <w:rsid w:val="00411EB3"/>
    <w:rsid w:val="00415D04"/>
    <w:rsid w:val="004162F3"/>
    <w:rsid w:val="00426D77"/>
    <w:rsid w:val="00432302"/>
    <w:rsid w:val="00433A48"/>
    <w:rsid w:val="00434694"/>
    <w:rsid w:val="00451BA6"/>
    <w:rsid w:val="00463453"/>
    <w:rsid w:val="0046519A"/>
    <w:rsid w:val="00480B4F"/>
    <w:rsid w:val="0048262D"/>
    <w:rsid w:val="004838CC"/>
    <w:rsid w:val="00483DA8"/>
    <w:rsid w:val="00487A0B"/>
    <w:rsid w:val="0049015D"/>
    <w:rsid w:val="004951F4"/>
    <w:rsid w:val="00495733"/>
    <w:rsid w:val="00497619"/>
    <w:rsid w:val="004B0BAE"/>
    <w:rsid w:val="004B3A26"/>
    <w:rsid w:val="004B3C85"/>
    <w:rsid w:val="004B6669"/>
    <w:rsid w:val="004B7BEC"/>
    <w:rsid w:val="004C2E75"/>
    <w:rsid w:val="004D0430"/>
    <w:rsid w:val="004D1F2C"/>
    <w:rsid w:val="004F3824"/>
    <w:rsid w:val="004F4B22"/>
    <w:rsid w:val="00504D4D"/>
    <w:rsid w:val="00504F94"/>
    <w:rsid w:val="00510E96"/>
    <w:rsid w:val="005119E9"/>
    <w:rsid w:val="0051387C"/>
    <w:rsid w:val="00516BD8"/>
    <w:rsid w:val="00523E5A"/>
    <w:rsid w:val="00524927"/>
    <w:rsid w:val="005255F6"/>
    <w:rsid w:val="00525DB8"/>
    <w:rsid w:val="00533E79"/>
    <w:rsid w:val="00537A4A"/>
    <w:rsid w:val="00546431"/>
    <w:rsid w:val="0054673D"/>
    <w:rsid w:val="005469BE"/>
    <w:rsid w:val="00550B2B"/>
    <w:rsid w:val="005540FA"/>
    <w:rsid w:val="00554170"/>
    <w:rsid w:val="00554CE4"/>
    <w:rsid w:val="00555FF5"/>
    <w:rsid w:val="00556FDE"/>
    <w:rsid w:val="00557B40"/>
    <w:rsid w:val="00566BB7"/>
    <w:rsid w:val="005670E0"/>
    <w:rsid w:val="00572B85"/>
    <w:rsid w:val="00573539"/>
    <w:rsid w:val="005775B9"/>
    <w:rsid w:val="0058113C"/>
    <w:rsid w:val="00581D0D"/>
    <w:rsid w:val="00583BC5"/>
    <w:rsid w:val="005954AE"/>
    <w:rsid w:val="00597909"/>
    <w:rsid w:val="005A081A"/>
    <w:rsid w:val="005A7967"/>
    <w:rsid w:val="005B50C4"/>
    <w:rsid w:val="005C3E0C"/>
    <w:rsid w:val="005C5A05"/>
    <w:rsid w:val="005C64E4"/>
    <w:rsid w:val="005D0581"/>
    <w:rsid w:val="005D153F"/>
    <w:rsid w:val="005D1CBC"/>
    <w:rsid w:val="005D7633"/>
    <w:rsid w:val="005D7883"/>
    <w:rsid w:val="005F1850"/>
    <w:rsid w:val="005F46A9"/>
    <w:rsid w:val="005F74C0"/>
    <w:rsid w:val="005F7B5F"/>
    <w:rsid w:val="006037C0"/>
    <w:rsid w:val="0061284D"/>
    <w:rsid w:val="006178A4"/>
    <w:rsid w:val="00624C0D"/>
    <w:rsid w:val="006255B2"/>
    <w:rsid w:val="006303AC"/>
    <w:rsid w:val="0063202A"/>
    <w:rsid w:val="006443A2"/>
    <w:rsid w:val="0064530C"/>
    <w:rsid w:val="00647E24"/>
    <w:rsid w:val="00650C4E"/>
    <w:rsid w:val="006571FB"/>
    <w:rsid w:val="006573D3"/>
    <w:rsid w:val="0066112D"/>
    <w:rsid w:val="00661BE7"/>
    <w:rsid w:val="00662031"/>
    <w:rsid w:val="0066300A"/>
    <w:rsid w:val="00664474"/>
    <w:rsid w:val="00673CAF"/>
    <w:rsid w:val="006746F6"/>
    <w:rsid w:val="006812CA"/>
    <w:rsid w:val="00683665"/>
    <w:rsid w:val="00691E99"/>
    <w:rsid w:val="006972C5"/>
    <w:rsid w:val="006C24AD"/>
    <w:rsid w:val="006C2ADF"/>
    <w:rsid w:val="006C4210"/>
    <w:rsid w:val="006C4A4D"/>
    <w:rsid w:val="006C550F"/>
    <w:rsid w:val="006D0840"/>
    <w:rsid w:val="006D3B1D"/>
    <w:rsid w:val="006E2BD3"/>
    <w:rsid w:val="006E45BA"/>
    <w:rsid w:val="006E5D29"/>
    <w:rsid w:val="006F0BB8"/>
    <w:rsid w:val="006F2838"/>
    <w:rsid w:val="006F43B1"/>
    <w:rsid w:val="006F72E6"/>
    <w:rsid w:val="0070658E"/>
    <w:rsid w:val="0071025F"/>
    <w:rsid w:val="00712784"/>
    <w:rsid w:val="00712E22"/>
    <w:rsid w:val="007146FA"/>
    <w:rsid w:val="00725574"/>
    <w:rsid w:val="00733548"/>
    <w:rsid w:val="00743980"/>
    <w:rsid w:val="00750251"/>
    <w:rsid w:val="007506F1"/>
    <w:rsid w:val="00756DD8"/>
    <w:rsid w:val="00757C04"/>
    <w:rsid w:val="007638F7"/>
    <w:rsid w:val="00767785"/>
    <w:rsid w:val="00771FCF"/>
    <w:rsid w:val="0078159D"/>
    <w:rsid w:val="00784982"/>
    <w:rsid w:val="00786D38"/>
    <w:rsid w:val="00792BF1"/>
    <w:rsid w:val="007A164A"/>
    <w:rsid w:val="007A2D55"/>
    <w:rsid w:val="007B088E"/>
    <w:rsid w:val="007B3ACC"/>
    <w:rsid w:val="007C2297"/>
    <w:rsid w:val="007C5E9D"/>
    <w:rsid w:val="007D15F0"/>
    <w:rsid w:val="007F7542"/>
    <w:rsid w:val="00800A48"/>
    <w:rsid w:val="00804A90"/>
    <w:rsid w:val="00811AF3"/>
    <w:rsid w:val="008142AB"/>
    <w:rsid w:val="0082293B"/>
    <w:rsid w:val="008241BC"/>
    <w:rsid w:val="00824F5A"/>
    <w:rsid w:val="008307BE"/>
    <w:rsid w:val="00831A8C"/>
    <w:rsid w:val="0083719D"/>
    <w:rsid w:val="00847B89"/>
    <w:rsid w:val="00851332"/>
    <w:rsid w:val="00851C2E"/>
    <w:rsid w:val="00851C40"/>
    <w:rsid w:val="008534D6"/>
    <w:rsid w:val="00853887"/>
    <w:rsid w:val="00857D6E"/>
    <w:rsid w:val="008643A4"/>
    <w:rsid w:val="00875AEB"/>
    <w:rsid w:val="008762A0"/>
    <w:rsid w:val="0088298B"/>
    <w:rsid w:val="00884D24"/>
    <w:rsid w:val="00892D10"/>
    <w:rsid w:val="00896068"/>
    <w:rsid w:val="008B1B89"/>
    <w:rsid w:val="008B7132"/>
    <w:rsid w:val="008C03A8"/>
    <w:rsid w:val="008C362C"/>
    <w:rsid w:val="008C4B95"/>
    <w:rsid w:val="008C78A5"/>
    <w:rsid w:val="008E567F"/>
    <w:rsid w:val="008E7AC1"/>
    <w:rsid w:val="008E7DA6"/>
    <w:rsid w:val="00903B64"/>
    <w:rsid w:val="009051CF"/>
    <w:rsid w:val="00906C91"/>
    <w:rsid w:val="00910843"/>
    <w:rsid w:val="00911F9D"/>
    <w:rsid w:val="00915120"/>
    <w:rsid w:val="00926004"/>
    <w:rsid w:val="00926743"/>
    <w:rsid w:val="00943716"/>
    <w:rsid w:val="00944CE1"/>
    <w:rsid w:val="00950481"/>
    <w:rsid w:val="009531F7"/>
    <w:rsid w:val="009535AE"/>
    <w:rsid w:val="0096489C"/>
    <w:rsid w:val="00970724"/>
    <w:rsid w:val="00973E83"/>
    <w:rsid w:val="00977612"/>
    <w:rsid w:val="00986319"/>
    <w:rsid w:val="00991D42"/>
    <w:rsid w:val="009933A6"/>
    <w:rsid w:val="00993B99"/>
    <w:rsid w:val="009A00CC"/>
    <w:rsid w:val="009B0666"/>
    <w:rsid w:val="009B1BD2"/>
    <w:rsid w:val="009B6CBE"/>
    <w:rsid w:val="009C0786"/>
    <w:rsid w:val="009C3E38"/>
    <w:rsid w:val="009C74E1"/>
    <w:rsid w:val="009D0F1C"/>
    <w:rsid w:val="009E044D"/>
    <w:rsid w:val="009E0B13"/>
    <w:rsid w:val="009E2E63"/>
    <w:rsid w:val="009E2F0E"/>
    <w:rsid w:val="009E3C7B"/>
    <w:rsid w:val="009F13D8"/>
    <w:rsid w:val="009F5121"/>
    <w:rsid w:val="00A01464"/>
    <w:rsid w:val="00A0329D"/>
    <w:rsid w:val="00A04462"/>
    <w:rsid w:val="00A149F9"/>
    <w:rsid w:val="00A2188F"/>
    <w:rsid w:val="00A30474"/>
    <w:rsid w:val="00A41545"/>
    <w:rsid w:val="00A427CE"/>
    <w:rsid w:val="00A429B4"/>
    <w:rsid w:val="00A42C34"/>
    <w:rsid w:val="00A524BE"/>
    <w:rsid w:val="00A54116"/>
    <w:rsid w:val="00A55C50"/>
    <w:rsid w:val="00A57E65"/>
    <w:rsid w:val="00A62DBC"/>
    <w:rsid w:val="00A673B0"/>
    <w:rsid w:val="00A713FC"/>
    <w:rsid w:val="00A73771"/>
    <w:rsid w:val="00A778B3"/>
    <w:rsid w:val="00A90EB7"/>
    <w:rsid w:val="00A91190"/>
    <w:rsid w:val="00A91930"/>
    <w:rsid w:val="00AB3995"/>
    <w:rsid w:val="00AB581E"/>
    <w:rsid w:val="00AB5D81"/>
    <w:rsid w:val="00AB7B29"/>
    <w:rsid w:val="00AB7E1E"/>
    <w:rsid w:val="00AC06F1"/>
    <w:rsid w:val="00AC3E27"/>
    <w:rsid w:val="00AD60C5"/>
    <w:rsid w:val="00AE1AF9"/>
    <w:rsid w:val="00AE26AF"/>
    <w:rsid w:val="00AE3B33"/>
    <w:rsid w:val="00AE3C45"/>
    <w:rsid w:val="00AF0DEE"/>
    <w:rsid w:val="00AF49AD"/>
    <w:rsid w:val="00AF60AC"/>
    <w:rsid w:val="00B018B9"/>
    <w:rsid w:val="00B0417A"/>
    <w:rsid w:val="00B0798A"/>
    <w:rsid w:val="00B10653"/>
    <w:rsid w:val="00B11118"/>
    <w:rsid w:val="00B1117A"/>
    <w:rsid w:val="00B12228"/>
    <w:rsid w:val="00B16A67"/>
    <w:rsid w:val="00B2669B"/>
    <w:rsid w:val="00B317B3"/>
    <w:rsid w:val="00B34D01"/>
    <w:rsid w:val="00B42E0C"/>
    <w:rsid w:val="00B44D0B"/>
    <w:rsid w:val="00B52A32"/>
    <w:rsid w:val="00B54EE2"/>
    <w:rsid w:val="00B55AD9"/>
    <w:rsid w:val="00B56D11"/>
    <w:rsid w:val="00B73476"/>
    <w:rsid w:val="00B743B4"/>
    <w:rsid w:val="00B814D4"/>
    <w:rsid w:val="00B83272"/>
    <w:rsid w:val="00B841BB"/>
    <w:rsid w:val="00B84970"/>
    <w:rsid w:val="00B86AAF"/>
    <w:rsid w:val="00B915DF"/>
    <w:rsid w:val="00B94CDC"/>
    <w:rsid w:val="00B9628C"/>
    <w:rsid w:val="00BA23D2"/>
    <w:rsid w:val="00BA6F9E"/>
    <w:rsid w:val="00BB0CF9"/>
    <w:rsid w:val="00BB3DD8"/>
    <w:rsid w:val="00BB4BBF"/>
    <w:rsid w:val="00BB4BFB"/>
    <w:rsid w:val="00BC0C28"/>
    <w:rsid w:val="00BC161D"/>
    <w:rsid w:val="00BC1678"/>
    <w:rsid w:val="00BC3F35"/>
    <w:rsid w:val="00BD7037"/>
    <w:rsid w:val="00BE3755"/>
    <w:rsid w:val="00BF4BB6"/>
    <w:rsid w:val="00BF64C2"/>
    <w:rsid w:val="00C01691"/>
    <w:rsid w:val="00C1709D"/>
    <w:rsid w:val="00C401C3"/>
    <w:rsid w:val="00C42208"/>
    <w:rsid w:val="00C4502F"/>
    <w:rsid w:val="00C47AB0"/>
    <w:rsid w:val="00C65AA3"/>
    <w:rsid w:val="00C666A8"/>
    <w:rsid w:val="00C666C2"/>
    <w:rsid w:val="00C70CC3"/>
    <w:rsid w:val="00C70E3E"/>
    <w:rsid w:val="00C762BA"/>
    <w:rsid w:val="00C858C7"/>
    <w:rsid w:val="00C86E99"/>
    <w:rsid w:val="00C93F17"/>
    <w:rsid w:val="00C96249"/>
    <w:rsid w:val="00CA02F6"/>
    <w:rsid w:val="00CA22A3"/>
    <w:rsid w:val="00CA5674"/>
    <w:rsid w:val="00CA6595"/>
    <w:rsid w:val="00CA7060"/>
    <w:rsid w:val="00CB1096"/>
    <w:rsid w:val="00CB2661"/>
    <w:rsid w:val="00CB29EC"/>
    <w:rsid w:val="00CB50FE"/>
    <w:rsid w:val="00CB7D22"/>
    <w:rsid w:val="00CC2F19"/>
    <w:rsid w:val="00CD7C43"/>
    <w:rsid w:val="00CE1C5A"/>
    <w:rsid w:val="00CF4610"/>
    <w:rsid w:val="00CF5952"/>
    <w:rsid w:val="00D01A94"/>
    <w:rsid w:val="00D03CE6"/>
    <w:rsid w:val="00D10717"/>
    <w:rsid w:val="00D10A2E"/>
    <w:rsid w:val="00D13C55"/>
    <w:rsid w:val="00D22937"/>
    <w:rsid w:val="00D24CF3"/>
    <w:rsid w:val="00D25BE7"/>
    <w:rsid w:val="00D33597"/>
    <w:rsid w:val="00D4170C"/>
    <w:rsid w:val="00D4274B"/>
    <w:rsid w:val="00D44924"/>
    <w:rsid w:val="00D4558A"/>
    <w:rsid w:val="00D5017E"/>
    <w:rsid w:val="00D50B88"/>
    <w:rsid w:val="00D50FC0"/>
    <w:rsid w:val="00D54069"/>
    <w:rsid w:val="00D54C3E"/>
    <w:rsid w:val="00D61105"/>
    <w:rsid w:val="00D6558A"/>
    <w:rsid w:val="00D70045"/>
    <w:rsid w:val="00D72547"/>
    <w:rsid w:val="00D73DDE"/>
    <w:rsid w:val="00D74A8F"/>
    <w:rsid w:val="00D8327A"/>
    <w:rsid w:val="00D87A06"/>
    <w:rsid w:val="00D92CC8"/>
    <w:rsid w:val="00D93F46"/>
    <w:rsid w:val="00D963D8"/>
    <w:rsid w:val="00DA4858"/>
    <w:rsid w:val="00DA5AC4"/>
    <w:rsid w:val="00DA77BE"/>
    <w:rsid w:val="00DB7B32"/>
    <w:rsid w:val="00DC6FE3"/>
    <w:rsid w:val="00DE2B30"/>
    <w:rsid w:val="00DE33E8"/>
    <w:rsid w:val="00DE40E0"/>
    <w:rsid w:val="00DE520A"/>
    <w:rsid w:val="00DE6B6A"/>
    <w:rsid w:val="00DE7564"/>
    <w:rsid w:val="00DE786D"/>
    <w:rsid w:val="00DE7E56"/>
    <w:rsid w:val="00DF243E"/>
    <w:rsid w:val="00DF3F6A"/>
    <w:rsid w:val="00DF461E"/>
    <w:rsid w:val="00DF4D84"/>
    <w:rsid w:val="00E20C1F"/>
    <w:rsid w:val="00E24D6C"/>
    <w:rsid w:val="00E30686"/>
    <w:rsid w:val="00E320E0"/>
    <w:rsid w:val="00E32FCB"/>
    <w:rsid w:val="00E34951"/>
    <w:rsid w:val="00E36AB5"/>
    <w:rsid w:val="00E448CF"/>
    <w:rsid w:val="00E52FE8"/>
    <w:rsid w:val="00E53300"/>
    <w:rsid w:val="00E56F6C"/>
    <w:rsid w:val="00E643C0"/>
    <w:rsid w:val="00E726AF"/>
    <w:rsid w:val="00E74104"/>
    <w:rsid w:val="00E77744"/>
    <w:rsid w:val="00E81521"/>
    <w:rsid w:val="00E81D5C"/>
    <w:rsid w:val="00E9156E"/>
    <w:rsid w:val="00E92AD8"/>
    <w:rsid w:val="00E95DC5"/>
    <w:rsid w:val="00E975F8"/>
    <w:rsid w:val="00E97804"/>
    <w:rsid w:val="00EA135F"/>
    <w:rsid w:val="00EA26CC"/>
    <w:rsid w:val="00EA4F96"/>
    <w:rsid w:val="00EC41B9"/>
    <w:rsid w:val="00EC723A"/>
    <w:rsid w:val="00ED2825"/>
    <w:rsid w:val="00ED3615"/>
    <w:rsid w:val="00ED50A8"/>
    <w:rsid w:val="00ED6CED"/>
    <w:rsid w:val="00ED7759"/>
    <w:rsid w:val="00EE1E3F"/>
    <w:rsid w:val="00EE1EFD"/>
    <w:rsid w:val="00EE415A"/>
    <w:rsid w:val="00EE4CC8"/>
    <w:rsid w:val="00EE7679"/>
    <w:rsid w:val="00EF1E92"/>
    <w:rsid w:val="00F01D85"/>
    <w:rsid w:val="00F04D84"/>
    <w:rsid w:val="00F055C3"/>
    <w:rsid w:val="00F125DF"/>
    <w:rsid w:val="00F14BA0"/>
    <w:rsid w:val="00F176AE"/>
    <w:rsid w:val="00F1787A"/>
    <w:rsid w:val="00F203AF"/>
    <w:rsid w:val="00F26041"/>
    <w:rsid w:val="00F268A3"/>
    <w:rsid w:val="00F31D24"/>
    <w:rsid w:val="00F3257F"/>
    <w:rsid w:val="00F33245"/>
    <w:rsid w:val="00F354F5"/>
    <w:rsid w:val="00F36A9B"/>
    <w:rsid w:val="00F3755E"/>
    <w:rsid w:val="00F40101"/>
    <w:rsid w:val="00F43BD8"/>
    <w:rsid w:val="00F464A6"/>
    <w:rsid w:val="00F50351"/>
    <w:rsid w:val="00F52502"/>
    <w:rsid w:val="00F558E0"/>
    <w:rsid w:val="00F60240"/>
    <w:rsid w:val="00F61335"/>
    <w:rsid w:val="00F66185"/>
    <w:rsid w:val="00F86342"/>
    <w:rsid w:val="00F90594"/>
    <w:rsid w:val="00F93FBB"/>
    <w:rsid w:val="00F95149"/>
    <w:rsid w:val="00F96B6B"/>
    <w:rsid w:val="00FA22D9"/>
    <w:rsid w:val="00FB2359"/>
    <w:rsid w:val="00FB43D6"/>
    <w:rsid w:val="00FC40F3"/>
    <w:rsid w:val="00FC5F9F"/>
    <w:rsid w:val="00FC604F"/>
    <w:rsid w:val="00FE0698"/>
    <w:rsid w:val="00FE0916"/>
    <w:rsid w:val="00FE20FD"/>
    <w:rsid w:val="00FF4805"/>
    <w:rsid w:val="00FF4B56"/>
    <w:rsid w:val="00FF76B3"/>
    <w:rsid w:val="00FF7FBC"/>
    <w:rsid w:val="01CF5B4F"/>
    <w:rsid w:val="079D97E5"/>
    <w:rsid w:val="0EBFD970"/>
    <w:rsid w:val="0EF78DAE"/>
    <w:rsid w:val="13CBEA3C"/>
    <w:rsid w:val="18F74A2F"/>
    <w:rsid w:val="197F68EF"/>
    <w:rsid w:val="1B6071F3"/>
    <w:rsid w:val="1BEFC789"/>
    <w:rsid w:val="1BF3E066"/>
    <w:rsid w:val="1CDD0DD8"/>
    <w:rsid w:val="1D1F7F50"/>
    <w:rsid w:val="1EFF1ABC"/>
    <w:rsid w:val="1F7B9BEB"/>
    <w:rsid w:val="1FBB2071"/>
    <w:rsid w:val="24BE564A"/>
    <w:rsid w:val="265EC44A"/>
    <w:rsid w:val="26D211D6"/>
    <w:rsid w:val="27BAD19A"/>
    <w:rsid w:val="2AFD0E5C"/>
    <w:rsid w:val="2B1634AD"/>
    <w:rsid w:val="2B7EB18E"/>
    <w:rsid w:val="2BCF972F"/>
    <w:rsid w:val="2CFB0F0C"/>
    <w:rsid w:val="2CFF12BE"/>
    <w:rsid w:val="2ED01483"/>
    <w:rsid w:val="2EDF4FF4"/>
    <w:rsid w:val="2EFF6AB9"/>
    <w:rsid w:val="2F2F2966"/>
    <w:rsid w:val="2FA50AB6"/>
    <w:rsid w:val="2FDBB155"/>
    <w:rsid w:val="2FF915E3"/>
    <w:rsid w:val="2FFB1A1E"/>
    <w:rsid w:val="2FFB1BB0"/>
    <w:rsid w:val="2FFFD463"/>
    <w:rsid w:val="31787316"/>
    <w:rsid w:val="31E139ED"/>
    <w:rsid w:val="32D1A8DB"/>
    <w:rsid w:val="33D6D14F"/>
    <w:rsid w:val="33EBCC2D"/>
    <w:rsid w:val="33EE55FA"/>
    <w:rsid w:val="35BFC26F"/>
    <w:rsid w:val="36EF9CF8"/>
    <w:rsid w:val="36FFF916"/>
    <w:rsid w:val="373F3BD8"/>
    <w:rsid w:val="375F618A"/>
    <w:rsid w:val="37E6F10A"/>
    <w:rsid w:val="37FD72CB"/>
    <w:rsid w:val="39B58ABF"/>
    <w:rsid w:val="3B1F9F48"/>
    <w:rsid w:val="3BDF518A"/>
    <w:rsid w:val="3BE79044"/>
    <w:rsid w:val="3C8B7E68"/>
    <w:rsid w:val="3D4B67CF"/>
    <w:rsid w:val="3DCD6C3B"/>
    <w:rsid w:val="3DDFE40F"/>
    <w:rsid w:val="3DEC6E5B"/>
    <w:rsid w:val="3DFB91CD"/>
    <w:rsid w:val="3EDFE1E4"/>
    <w:rsid w:val="3F2BE55E"/>
    <w:rsid w:val="3F3F9E4F"/>
    <w:rsid w:val="3F5CA6A9"/>
    <w:rsid w:val="3F7BC032"/>
    <w:rsid w:val="3FB698FB"/>
    <w:rsid w:val="3FBB1876"/>
    <w:rsid w:val="3FBFB923"/>
    <w:rsid w:val="3FD5C07D"/>
    <w:rsid w:val="3FFE310E"/>
    <w:rsid w:val="3FFE7088"/>
    <w:rsid w:val="3FFF6347"/>
    <w:rsid w:val="3FFF93F7"/>
    <w:rsid w:val="3FFFD5AA"/>
    <w:rsid w:val="43A5C299"/>
    <w:rsid w:val="45EF8669"/>
    <w:rsid w:val="47EBB3B1"/>
    <w:rsid w:val="47EF587F"/>
    <w:rsid w:val="4B7B219C"/>
    <w:rsid w:val="4B7B49D3"/>
    <w:rsid w:val="4BBFF0E5"/>
    <w:rsid w:val="4BF5F120"/>
    <w:rsid w:val="4BFC36AF"/>
    <w:rsid w:val="4DB34AB5"/>
    <w:rsid w:val="4EBE45CF"/>
    <w:rsid w:val="4FEEEB5F"/>
    <w:rsid w:val="4FFDADE1"/>
    <w:rsid w:val="4FFF260D"/>
    <w:rsid w:val="50A9178B"/>
    <w:rsid w:val="533F76C0"/>
    <w:rsid w:val="53598D02"/>
    <w:rsid w:val="5376A434"/>
    <w:rsid w:val="53E7BA2A"/>
    <w:rsid w:val="53ED922B"/>
    <w:rsid w:val="53FB53AA"/>
    <w:rsid w:val="568D15A8"/>
    <w:rsid w:val="56F7FAF7"/>
    <w:rsid w:val="575E6F90"/>
    <w:rsid w:val="575F460E"/>
    <w:rsid w:val="579AAA69"/>
    <w:rsid w:val="57DA349D"/>
    <w:rsid w:val="57DF394F"/>
    <w:rsid w:val="57FFBD06"/>
    <w:rsid w:val="59B03D96"/>
    <w:rsid w:val="59E7C55F"/>
    <w:rsid w:val="59FF6373"/>
    <w:rsid w:val="5A7BEEC4"/>
    <w:rsid w:val="5ABBFF5D"/>
    <w:rsid w:val="5ABF30F4"/>
    <w:rsid w:val="5B6F3BB0"/>
    <w:rsid w:val="5B77612B"/>
    <w:rsid w:val="5BDD3839"/>
    <w:rsid w:val="5BFDE7DE"/>
    <w:rsid w:val="5D9BCD9B"/>
    <w:rsid w:val="5DFB6223"/>
    <w:rsid w:val="5DFF5770"/>
    <w:rsid w:val="5EFB05F5"/>
    <w:rsid w:val="5EFEF204"/>
    <w:rsid w:val="5F7FD055"/>
    <w:rsid w:val="5FBD41D5"/>
    <w:rsid w:val="5FDD83A5"/>
    <w:rsid w:val="5FDD8C0A"/>
    <w:rsid w:val="5FDF8A48"/>
    <w:rsid w:val="5FEC0C47"/>
    <w:rsid w:val="5FFDD6B4"/>
    <w:rsid w:val="5FFE5C7D"/>
    <w:rsid w:val="61640FF4"/>
    <w:rsid w:val="635CD9EE"/>
    <w:rsid w:val="66FF38C9"/>
    <w:rsid w:val="67D49D34"/>
    <w:rsid w:val="67DF14EF"/>
    <w:rsid w:val="67F55BED"/>
    <w:rsid w:val="67F73356"/>
    <w:rsid w:val="67FC06A3"/>
    <w:rsid w:val="67FEDC79"/>
    <w:rsid w:val="68FF6F0E"/>
    <w:rsid w:val="69BEDC25"/>
    <w:rsid w:val="6A8B41F6"/>
    <w:rsid w:val="6BBF1AAC"/>
    <w:rsid w:val="6BDF4DB9"/>
    <w:rsid w:val="6BE1B060"/>
    <w:rsid w:val="6C2FAD39"/>
    <w:rsid w:val="6CFB4FF6"/>
    <w:rsid w:val="6D354274"/>
    <w:rsid w:val="6D7F4651"/>
    <w:rsid w:val="6D9E3C08"/>
    <w:rsid w:val="6DF73561"/>
    <w:rsid w:val="6DFF5135"/>
    <w:rsid w:val="6DFFDFC6"/>
    <w:rsid w:val="6E5D39E9"/>
    <w:rsid w:val="6E6BF025"/>
    <w:rsid w:val="6EB1ED49"/>
    <w:rsid w:val="6EB7A056"/>
    <w:rsid w:val="6EF98855"/>
    <w:rsid w:val="6EFEC92E"/>
    <w:rsid w:val="6EFFF647"/>
    <w:rsid w:val="6F3E086E"/>
    <w:rsid w:val="6F7D1E44"/>
    <w:rsid w:val="6F7FC99B"/>
    <w:rsid w:val="6FB73DA5"/>
    <w:rsid w:val="6FB79AF5"/>
    <w:rsid w:val="6FD731AE"/>
    <w:rsid w:val="6FD93FB9"/>
    <w:rsid w:val="6FDFB71C"/>
    <w:rsid w:val="6FE3DD9A"/>
    <w:rsid w:val="6FF7473E"/>
    <w:rsid w:val="6FFA4B91"/>
    <w:rsid w:val="6FFF0E29"/>
    <w:rsid w:val="6FFF2218"/>
    <w:rsid w:val="6FFF44E0"/>
    <w:rsid w:val="6FFF4D4E"/>
    <w:rsid w:val="6FFFB2AC"/>
    <w:rsid w:val="71740F37"/>
    <w:rsid w:val="71F7E717"/>
    <w:rsid w:val="72597CE1"/>
    <w:rsid w:val="727C6E76"/>
    <w:rsid w:val="727F92EF"/>
    <w:rsid w:val="736FB56D"/>
    <w:rsid w:val="737D5884"/>
    <w:rsid w:val="73BFA2FB"/>
    <w:rsid w:val="73DAE2BD"/>
    <w:rsid w:val="73DB55E2"/>
    <w:rsid w:val="73F7B2DC"/>
    <w:rsid w:val="73FDA80B"/>
    <w:rsid w:val="7430CEAA"/>
    <w:rsid w:val="759F9DF6"/>
    <w:rsid w:val="75BF08F8"/>
    <w:rsid w:val="75DC6C33"/>
    <w:rsid w:val="75FD46F3"/>
    <w:rsid w:val="75FD4C61"/>
    <w:rsid w:val="75FF9F88"/>
    <w:rsid w:val="75FFB3B0"/>
    <w:rsid w:val="763FFB3C"/>
    <w:rsid w:val="765AD809"/>
    <w:rsid w:val="766DFE87"/>
    <w:rsid w:val="767E335D"/>
    <w:rsid w:val="76F62417"/>
    <w:rsid w:val="76FF0A5B"/>
    <w:rsid w:val="7765F6FF"/>
    <w:rsid w:val="77771D37"/>
    <w:rsid w:val="777F1B0B"/>
    <w:rsid w:val="779342FB"/>
    <w:rsid w:val="77B3C739"/>
    <w:rsid w:val="77B5160A"/>
    <w:rsid w:val="77BFEBDB"/>
    <w:rsid w:val="77C6230D"/>
    <w:rsid w:val="77CDCC22"/>
    <w:rsid w:val="77DBB5C8"/>
    <w:rsid w:val="77EE6303"/>
    <w:rsid w:val="77FB7BD1"/>
    <w:rsid w:val="79DF3B18"/>
    <w:rsid w:val="79FB2443"/>
    <w:rsid w:val="7AAB3F97"/>
    <w:rsid w:val="7ABEF09E"/>
    <w:rsid w:val="7AEE4041"/>
    <w:rsid w:val="7AEFF9DB"/>
    <w:rsid w:val="7AFD3C37"/>
    <w:rsid w:val="7AFF0C76"/>
    <w:rsid w:val="7B5F27CA"/>
    <w:rsid w:val="7B75532F"/>
    <w:rsid w:val="7B77D4B4"/>
    <w:rsid w:val="7B8BF4EF"/>
    <w:rsid w:val="7B9BDC08"/>
    <w:rsid w:val="7BBF7CDB"/>
    <w:rsid w:val="7BD72987"/>
    <w:rsid w:val="7BDD324F"/>
    <w:rsid w:val="7BDFFCA6"/>
    <w:rsid w:val="7BE704FF"/>
    <w:rsid w:val="7BEE86AF"/>
    <w:rsid w:val="7BF744AE"/>
    <w:rsid w:val="7BF78A95"/>
    <w:rsid w:val="7BFB3DEF"/>
    <w:rsid w:val="7BFC2A4F"/>
    <w:rsid w:val="7BFE4492"/>
    <w:rsid w:val="7BFED7D2"/>
    <w:rsid w:val="7BFF1CD6"/>
    <w:rsid w:val="7C2D43DD"/>
    <w:rsid w:val="7C7FFAAB"/>
    <w:rsid w:val="7CF70498"/>
    <w:rsid w:val="7CF73430"/>
    <w:rsid w:val="7CFF8883"/>
    <w:rsid w:val="7D5F9FEB"/>
    <w:rsid w:val="7D7B5A53"/>
    <w:rsid w:val="7D9E499B"/>
    <w:rsid w:val="7D9FF76B"/>
    <w:rsid w:val="7DBED860"/>
    <w:rsid w:val="7DBF259B"/>
    <w:rsid w:val="7DBF836E"/>
    <w:rsid w:val="7DCF93B3"/>
    <w:rsid w:val="7DDF1006"/>
    <w:rsid w:val="7DDF23BD"/>
    <w:rsid w:val="7DEF1C51"/>
    <w:rsid w:val="7DFF64B3"/>
    <w:rsid w:val="7DFFC6DB"/>
    <w:rsid w:val="7DFFD157"/>
    <w:rsid w:val="7E7AF991"/>
    <w:rsid w:val="7E971529"/>
    <w:rsid w:val="7E9FB798"/>
    <w:rsid w:val="7ED70180"/>
    <w:rsid w:val="7EDF1F94"/>
    <w:rsid w:val="7EEFFF0D"/>
    <w:rsid w:val="7EFDEEC3"/>
    <w:rsid w:val="7EFF5E43"/>
    <w:rsid w:val="7EFF9B57"/>
    <w:rsid w:val="7EFFA003"/>
    <w:rsid w:val="7F1F2E22"/>
    <w:rsid w:val="7F2F0E3B"/>
    <w:rsid w:val="7F4D164A"/>
    <w:rsid w:val="7F59D4B4"/>
    <w:rsid w:val="7F5EA47A"/>
    <w:rsid w:val="7F67024D"/>
    <w:rsid w:val="7F6EA164"/>
    <w:rsid w:val="7F6F0B97"/>
    <w:rsid w:val="7F759B85"/>
    <w:rsid w:val="7F7DD7EF"/>
    <w:rsid w:val="7F8F845D"/>
    <w:rsid w:val="7F8FABB3"/>
    <w:rsid w:val="7F9F094D"/>
    <w:rsid w:val="7FAD9A3E"/>
    <w:rsid w:val="7FB73AD0"/>
    <w:rsid w:val="7FBFF6EF"/>
    <w:rsid w:val="7FCB16BA"/>
    <w:rsid w:val="7FDF5F5A"/>
    <w:rsid w:val="7FDF70A5"/>
    <w:rsid w:val="7FDFE94F"/>
    <w:rsid w:val="7FE92FFC"/>
    <w:rsid w:val="7FEB8D2F"/>
    <w:rsid w:val="7FEE1CE5"/>
    <w:rsid w:val="7FEE43AF"/>
    <w:rsid w:val="7FF3B595"/>
    <w:rsid w:val="7FF6DD45"/>
    <w:rsid w:val="7FF7AE25"/>
    <w:rsid w:val="7FF7FAD7"/>
    <w:rsid w:val="7FFE5BE5"/>
    <w:rsid w:val="7FFE5CBF"/>
    <w:rsid w:val="7FFEE994"/>
    <w:rsid w:val="7FFF000A"/>
    <w:rsid w:val="7FFF06E1"/>
    <w:rsid w:val="7FFF1DD8"/>
    <w:rsid w:val="7FFF39D6"/>
    <w:rsid w:val="7FFFC921"/>
    <w:rsid w:val="7FFFC93B"/>
    <w:rsid w:val="8D780642"/>
    <w:rsid w:val="8FEB8E17"/>
    <w:rsid w:val="8FF356C0"/>
    <w:rsid w:val="8FFF03F6"/>
    <w:rsid w:val="935DAECA"/>
    <w:rsid w:val="965BCD39"/>
    <w:rsid w:val="9B7B703A"/>
    <w:rsid w:val="9BAB570E"/>
    <w:rsid w:val="9DBF0267"/>
    <w:rsid w:val="9F65BDA8"/>
    <w:rsid w:val="9F7FA5EB"/>
    <w:rsid w:val="9FCA4F89"/>
    <w:rsid w:val="9FFFD794"/>
    <w:rsid w:val="A77FD829"/>
    <w:rsid w:val="A7B99433"/>
    <w:rsid w:val="A7BF40ED"/>
    <w:rsid w:val="A9D66BC0"/>
    <w:rsid w:val="ABE0BBCA"/>
    <w:rsid w:val="ADF7EEF4"/>
    <w:rsid w:val="AE8B645A"/>
    <w:rsid w:val="AED9FF6D"/>
    <w:rsid w:val="AF3D4B8D"/>
    <w:rsid w:val="AFDE7E95"/>
    <w:rsid w:val="AFE938FA"/>
    <w:rsid w:val="AFFB7550"/>
    <w:rsid w:val="AFFEA4B0"/>
    <w:rsid w:val="AFFF0294"/>
    <w:rsid w:val="AFFF3740"/>
    <w:rsid w:val="B3DE80C5"/>
    <w:rsid w:val="B3FE8ED6"/>
    <w:rsid w:val="B4D5074C"/>
    <w:rsid w:val="B67FE58D"/>
    <w:rsid w:val="B6959937"/>
    <w:rsid w:val="B6DDE005"/>
    <w:rsid w:val="B6DFB6F8"/>
    <w:rsid w:val="B78FDA8F"/>
    <w:rsid w:val="B797C2EB"/>
    <w:rsid w:val="B7EFB5FE"/>
    <w:rsid w:val="B7F64889"/>
    <w:rsid w:val="B9EFBA9C"/>
    <w:rsid w:val="B9F9A25F"/>
    <w:rsid w:val="BA9B7C8D"/>
    <w:rsid w:val="BAD98084"/>
    <w:rsid w:val="BAEF8370"/>
    <w:rsid w:val="BAFD5229"/>
    <w:rsid w:val="BBEF6AA1"/>
    <w:rsid w:val="BBFCEF52"/>
    <w:rsid w:val="BBFD0206"/>
    <w:rsid w:val="BBFF3586"/>
    <w:rsid w:val="BBFFE7B0"/>
    <w:rsid w:val="BBFFF00B"/>
    <w:rsid w:val="BD6BA4C0"/>
    <w:rsid w:val="BD8FE79C"/>
    <w:rsid w:val="BDE896E4"/>
    <w:rsid w:val="BE0D4172"/>
    <w:rsid w:val="BE798499"/>
    <w:rsid w:val="BE7E98D2"/>
    <w:rsid w:val="BE7EDA48"/>
    <w:rsid w:val="BEDD2F83"/>
    <w:rsid w:val="BEDE51C3"/>
    <w:rsid w:val="BF7E88D9"/>
    <w:rsid w:val="BF7EF30C"/>
    <w:rsid w:val="BF7FFED0"/>
    <w:rsid w:val="BFBBB847"/>
    <w:rsid w:val="BFBDE3E2"/>
    <w:rsid w:val="BFBF00FE"/>
    <w:rsid w:val="BFDCE16A"/>
    <w:rsid w:val="BFDF3ED6"/>
    <w:rsid w:val="BFFA25D1"/>
    <w:rsid w:val="BFFC3741"/>
    <w:rsid w:val="BFFCFD9A"/>
    <w:rsid w:val="BFFF6EA2"/>
    <w:rsid w:val="BFFFADB0"/>
    <w:rsid w:val="CAD9A922"/>
    <w:rsid w:val="CBD78625"/>
    <w:rsid w:val="CBDC482F"/>
    <w:rsid w:val="CCFEA454"/>
    <w:rsid w:val="CCFFA139"/>
    <w:rsid w:val="CDB558E2"/>
    <w:rsid w:val="CDB6DB77"/>
    <w:rsid w:val="CDEFF927"/>
    <w:rsid w:val="CDFFB376"/>
    <w:rsid w:val="CEE1788A"/>
    <w:rsid w:val="CF77D453"/>
    <w:rsid w:val="CFB47170"/>
    <w:rsid w:val="CFD70541"/>
    <w:rsid w:val="CFEDBB91"/>
    <w:rsid w:val="D2DC3F21"/>
    <w:rsid w:val="D3FD1327"/>
    <w:rsid w:val="D4EF878D"/>
    <w:rsid w:val="D6BD1304"/>
    <w:rsid w:val="D6DEF706"/>
    <w:rsid w:val="D78562CD"/>
    <w:rsid w:val="D7D800CF"/>
    <w:rsid w:val="D7FB2D35"/>
    <w:rsid w:val="D9BE49A4"/>
    <w:rsid w:val="D9DFAD92"/>
    <w:rsid w:val="DA5A2E13"/>
    <w:rsid w:val="DADD0A52"/>
    <w:rsid w:val="DAFE1F18"/>
    <w:rsid w:val="DB371402"/>
    <w:rsid w:val="DB686D92"/>
    <w:rsid w:val="DBB349A1"/>
    <w:rsid w:val="DBBBC174"/>
    <w:rsid w:val="DBD4670A"/>
    <w:rsid w:val="DBDF94DF"/>
    <w:rsid w:val="DBF676F7"/>
    <w:rsid w:val="DCF43333"/>
    <w:rsid w:val="DD6D73B8"/>
    <w:rsid w:val="DDEA0244"/>
    <w:rsid w:val="DDF686BC"/>
    <w:rsid w:val="DDFBDFCC"/>
    <w:rsid w:val="DDFD0E7F"/>
    <w:rsid w:val="DDFDCA39"/>
    <w:rsid w:val="DE5385DA"/>
    <w:rsid w:val="DE770A83"/>
    <w:rsid w:val="DEB6AFF5"/>
    <w:rsid w:val="DECD1F35"/>
    <w:rsid w:val="DEDEF6FC"/>
    <w:rsid w:val="DEDFE9C5"/>
    <w:rsid w:val="DEF821BD"/>
    <w:rsid w:val="DEFFAF17"/>
    <w:rsid w:val="DF7F5226"/>
    <w:rsid w:val="DF7F68C0"/>
    <w:rsid w:val="DF9D0530"/>
    <w:rsid w:val="DF9ED233"/>
    <w:rsid w:val="DF9F8FF8"/>
    <w:rsid w:val="DFBB5AFB"/>
    <w:rsid w:val="DFBDC9CF"/>
    <w:rsid w:val="DFBFDF89"/>
    <w:rsid w:val="DFEE9DAC"/>
    <w:rsid w:val="DFF74AFE"/>
    <w:rsid w:val="DFFB29E0"/>
    <w:rsid w:val="DFFB9077"/>
    <w:rsid w:val="DFFD5663"/>
    <w:rsid w:val="DFFD79DD"/>
    <w:rsid w:val="DFFF1B06"/>
    <w:rsid w:val="DFFFB1B6"/>
    <w:rsid w:val="E16FB236"/>
    <w:rsid w:val="E1F70142"/>
    <w:rsid w:val="E3FB5443"/>
    <w:rsid w:val="E3FEDD03"/>
    <w:rsid w:val="E3FF11C1"/>
    <w:rsid w:val="E5F7E6E2"/>
    <w:rsid w:val="E697A4A1"/>
    <w:rsid w:val="E6F5F49C"/>
    <w:rsid w:val="E73F60B7"/>
    <w:rsid w:val="E7FBFB7D"/>
    <w:rsid w:val="E9EDB819"/>
    <w:rsid w:val="EAFBB748"/>
    <w:rsid w:val="EBEF0546"/>
    <w:rsid w:val="EBFB5168"/>
    <w:rsid w:val="ECFF283D"/>
    <w:rsid w:val="ECFFDACE"/>
    <w:rsid w:val="ED6FBAB3"/>
    <w:rsid w:val="EDBB264D"/>
    <w:rsid w:val="EDBB4D5F"/>
    <w:rsid w:val="EDC5FC1C"/>
    <w:rsid w:val="EDC9115B"/>
    <w:rsid w:val="EDFE1871"/>
    <w:rsid w:val="EDFF031F"/>
    <w:rsid w:val="EDFF66D1"/>
    <w:rsid w:val="EE3A2BCA"/>
    <w:rsid w:val="EE7FE888"/>
    <w:rsid w:val="EECBA3FE"/>
    <w:rsid w:val="EEFF55B1"/>
    <w:rsid w:val="EF56AC19"/>
    <w:rsid w:val="EFBFF574"/>
    <w:rsid w:val="EFDF03C9"/>
    <w:rsid w:val="EFEB99C0"/>
    <w:rsid w:val="EFEEDD42"/>
    <w:rsid w:val="EFF33419"/>
    <w:rsid w:val="EFF537B1"/>
    <w:rsid w:val="EFFEAB69"/>
    <w:rsid w:val="F1FF2B50"/>
    <w:rsid w:val="F35FE3B6"/>
    <w:rsid w:val="F3D5719A"/>
    <w:rsid w:val="F3DD8C1A"/>
    <w:rsid w:val="F3F66930"/>
    <w:rsid w:val="F5DB8AE0"/>
    <w:rsid w:val="F5EBC7FC"/>
    <w:rsid w:val="F6375509"/>
    <w:rsid w:val="F66757FC"/>
    <w:rsid w:val="F671BA71"/>
    <w:rsid w:val="F67F02C7"/>
    <w:rsid w:val="F6B7FB7A"/>
    <w:rsid w:val="F73D58B6"/>
    <w:rsid w:val="F75B287F"/>
    <w:rsid w:val="F75B88A9"/>
    <w:rsid w:val="F75D4845"/>
    <w:rsid w:val="F76DC014"/>
    <w:rsid w:val="F7737266"/>
    <w:rsid w:val="F773CE50"/>
    <w:rsid w:val="F777F058"/>
    <w:rsid w:val="F77EDBAF"/>
    <w:rsid w:val="F77FF373"/>
    <w:rsid w:val="F7979DAC"/>
    <w:rsid w:val="F7ABE771"/>
    <w:rsid w:val="F7BDBD19"/>
    <w:rsid w:val="F7DFE6F4"/>
    <w:rsid w:val="F7E33AF0"/>
    <w:rsid w:val="F7EE2DC8"/>
    <w:rsid w:val="F7F52AF7"/>
    <w:rsid w:val="F7F96B71"/>
    <w:rsid w:val="F7FEDBBA"/>
    <w:rsid w:val="F7FF31D3"/>
    <w:rsid w:val="F97AE28C"/>
    <w:rsid w:val="F9FA0988"/>
    <w:rsid w:val="F9FEA823"/>
    <w:rsid w:val="FA76C521"/>
    <w:rsid w:val="FAE3D956"/>
    <w:rsid w:val="FAEB10A9"/>
    <w:rsid w:val="FAF7D506"/>
    <w:rsid w:val="FAFD33E2"/>
    <w:rsid w:val="FAFFB047"/>
    <w:rsid w:val="FB0BD17C"/>
    <w:rsid w:val="FB2FAAF5"/>
    <w:rsid w:val="FB3D714B"/>
    <w:rsid w:val="FB5D1ED2"/>
    <w:rsid w:val="FB7BB97F"/>
    <w:rsid w:val="FBB642F5"/>
    <w:rsid w:val="FBBF41DA"/>
    <w:rsid w:val="FBDB75BD"/>
    <w:rsid w:val="FBDF00FB"/>
    <w:rsid w:val="FBDF154D"/>
    <w:rsid w:val="FBE7B11D"/>
    <w:rsid w:val="FBFB79F0"/>
    <w:rsid w:val="FBFF39B7"/>
    <w:rsid w:val="FBFF8F25"/>
    <w:rsid w:val="FBFFD831"/>
    <w:rsid w:val="FC59F683"/>
    <w:rsid w:val="FC79D2AF"/>
    <w:rsid w:val="FCAE9E43"/>
    <w:rsid w:val="FCE3CE75"/>
    <w:rsid w:val="FCFF8249"/>
    <w:rsid w:val="FD6615C4"/>
    <w:rsid w:val="FD6799D6"/>
    <w:rsid w:val="FD6FBCBF"/>
    <w:rsid w:val="FD7A7C2A"/>
    <w:rsid w:val="FD9F688D"/>
    <w:rsid w:val="FDBF38F3"/>
    <w:rsid w:val="FDBFC8F0"/>
    <w:rsid w:val="FDDF5EC9"/>
    <w:rsid w:val="FDEE411B"/>
    <w:rsid w:val="FDEF3613"/>
    <w:rsid w:val="FDEF718E"/>
    <w:rsid w:val="FDF34AA4"/>
    <w:rsid w:val="FDF7B1C8"/>
    <w:rsid w:val="FDFD4B6D"/>
    <w:rsid w:val="FDFDD71B"/>
    <w:rsid w:val="FDFF28EC"/>
    <w:rsid w:val="FE3BF73B"/>
    <w:rsid w:val="FE5E5EB0"/>
    <w:rsid w:val="FEA32055"/>
    <w:rsid w:val="FEABC05C"/>
    <w:rsid w:val="FEAE5F79"/>
    <w:rsid w:val="FEB61FFA"/>
    <w:rsid w:val="FEBF81F9"/>
    <w:rsid w:val="FEC4B05F"/>
    <w:rsid w:val="FED753EE"/>
    <w:rsid w:val="FEDA7F45"/>
    <w:rsid w:val="FEE73DAE"/>
    <w:rsid w:val="FEF5AB42"/>
    <w:rsid w:val="FEFF5EC9"/>
    <w:rsid w:val="FF3F9537"/>
    <w:rsid w:val="FF4BFBE8"/>
    <w:rsid w:val="FF532A9E"/>
    <w:rsid w:val="FF616CFF"/>
    <w:rsid w:val="FF675273"/>
    <w:rsid w:val="FF6CABAC"/>
    <w:rsid w:val="FF7FB262"/>
    <w:rsid w:val="FF7FCF8B"/>
    <w:rsid w:val="FF7FEEB9"/>
    <w:rsid w:val="FFA7064E"/>
    <w:rsid w:val="FFABBE16"/>
    <w:rsid w:val="FFAE4CE3"/>
    <w:rsid w:val="FFB72485"/>
    <w:rsid w:val="FFB772BD"/>
    <w:rsid w:val="FFBF6DE1"/>
    <w:rsid w:val="FFBFEE01"/>
    <w:rsid w:val="FFCD5A89"/>
    <w:rsid w:val="FFDC4B12"/>
    <w:rsid w:val="FFE43585"/>
    <w:rsid w:val="FFE44A1E"/>
    <w:rsid w:val="FFE55EDC"/>
    <w:rsid w:val="FFEDCECF"/>
    <w:rsid w:val="FFEF331F"/>
    <w:rsid w:val="FFEF4C51"/>
    <w:rsid w:val="FFF2246E"/>
    <w:rsid w:val="FFF35C3E"/>
    <w:rsid w:val="FFF37089"/>
    <w:rsid w:val="FFF63295"/>
    <w:rsid w:val="FFF73E21"/>
    <w:rsid w:val="FFF7B51A"/>
    <w:rsid w:val="FFF7B9DA"/>
    <w:rsid w:val="FFF92679"/>
    <w:rsid w:val="FFFAC207"/>
    <w:rsid w:val="FFFB918D"/>
    <w:rsid w:val="FFFCE690"/>
    <w:rsid w:val="FFFD2AC8"/>
    <w:rsid w:val="FFFE1EF4"/>
    <w:rsid w:val="FFFE2F14"/>
    <w:rsid w:val="FFFF2148"/>
    <w:rsid w:val="FFFF9BC2"/>
    <w:rsid w:val="FFFFB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0" w:semiHidden="0"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41"/>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9"/>
    <w:qFormat/>
    <w:uiPriority w:val="9"/>
    <w:pPr>
      <w:keepNext/>
      <w:keepLines/>
      <w:spacing w:before="340" w:after="330" w:line="578" w:lineRule="auto"/>
      <w:outlineLvl w:val="0"/>
    </w:pPr>
    <w:rPr>
      <w:rFonts w:eastAsia="SimSun-ExtB"/>
      <w:b/>
      <w:bCs/>
      <w:kern w:val="44"/>
      <w:sz w:val="28"/>
      <w:szCs w:val="44"/>
    </w:rPr>
  </w:style>
  <w:style w:type="paragraph" w:styleId="4">
    <w:name w:val="heading 2"/>
    <w:basedOn w:val="3"/>
    <w:next w:val="1"/>
    <w:link w:val="28"/>
    <w:unhideWhenUsed/>
    <w:qFormat/>
    <w:uiPriority w:val="9"/>
    <w:pPr>
      <w:spacing w:before="0" w:after="0" w:line="360" w:lineRule="auto"/>
      <w:ind w:firstLine="643" w:firstLineChars="200"/>
      <w:jc w:val="left"/>
      <w:outlineLvl w:val="1"/>
    </w:pPr>
    <w:rPr>
      <w:rFonts w:ascii="Times New Roman" w:hAnsi="Times New Roman"/>
      <w:sz w:val="24"/>
    </w:rPr>
  </w:style>
  <w:style w:type="paragraph" w:styleId="5">
    <w:name w:val="heading 3"/>
    <w:basedOn w:val="1"/>
    <w:next w:val="1"/>
    <w:link w:val="31"/>
    <w:unhideWhenUsed/>
    <w:qFormat/>
    <w:uiPriority w:val="9"/>
    <w:pPr>
      <w:keepNext/>
      <w:keepLines/>
      <w:spacing w:line="360" w:lineRule="auto"/>
      <w:jc w:val="left"/>
      <w:outlineLvl w:val="2"/>
    </w:pPr>
    <w:rPr>
      <w:rFonts w:eastAsia="SimSun-ExtB"/>
      <w:b/>
      <w:bCs/>
      <w:sz w:val="24"/>
      <w:szCs w:val="32"/>
    </w:rPr>
  </w:style>
  <w:style w:type="paragraph" w:styleId="6">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unhideWhenUsed/>
    <w:qFormat/>
    <w:uiPriority w:val="0"/>
    <w:pPr>
      <w:keepNext/>
      <w:keepLines/>
      <w:spacing w:before="280" w:after="290" w:line="376" w:lineRule="auto"/>
      <w:outlineLvl w:val="4"/>
    </w:pPr>
    <w:rPr>
      <w:b/>
      <w:bCs/>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index 9"/>
    <w:basedOn w:val="1"/>
    <w:next w:val="1"/>
    <w:qFormat/>
    <w:uiPriority w:val="0"/>
    <w:pPr>
      <w:ind w:left="3360"/>
    </w:pPr>
    <w:rPr>
      <w:rFonts w:ascii="Times New Roman" w:hAnsi="Times New Roman"/>
      <w:szCs w:val="20"/>
    </w:rPr>
  </w:style>
  <w:style w:type="paragraph" w:styleId="8">
    <w:name w:val="caption"/>
    <w:basedOn w:val="1"/>
    <w:next w:val="1"/>
    <w:qFormat/>
    <w:uiPriority w:val="99"/>
    <w:pPr>
      <w:pBdr>
        <w:top w:val="none" w:color="auto" w:sz="0" w:space="1"/>
        <w:left w:val="none" w:color="auto" w:sz="0" w:space="4"/>
        <w:bottom w:val="none" w:color="auto" w:sz="0" w:space="1"/>
        <w:right w:val="none" w:color="auto" w:sz="0" w:space="4"/>
      </w:pBdr>
      <w:ind w:firstLine="200"/>
      <w:jc w:val="center"/>
    </w:pPr>
    <w:rPr>
      <w:b/>
      <w:sz w:val="24"/>
      <w:szCs w:val="20"/>
    </w:rPr>
  </w:style>
  <w:style w:type="paragraph" w:styleId="9">
    <w:name w:val="Body Text"/>
    <w:basedOn w:val="1"/>
    <w:link w:val="27"/>
    <w:qFormat/>
    <w:uiPriority w:val="0"/>
    <w:rPr>
      <w:rFonts w:ascii="Times New Roman" w:hAnsi="Times New Roman" w:eastAsia="仿宋_GB2312" w:cs="Times New Roman"/>
      <w:sz w:val="32"/>
    </w:rPr>
  </w:style>
  <w:style w:type="paragraph" w:styleId="10">
    <w:name w:val="toc 3"/>
    <w:basedOn w:val="1"/>
    <w:next w:val="1"/>
    <w:unhideWhenUsed/>
    <w:qFormat/>
    <w:uiPriority w:val="39"/>
    <w:pPr>
      <w:ind w:left="840" w:leftChars="400"/>
    </w:pPr>
  </w:style>
  <w:style w:type="paragraph" w:styleId="11">
    <w:name w:val="Date"/>
    <w:basedOn w:val="1"/>
    <w:next w:val="1"/>
    <w:link w:val="34"/>
    <w:semiHidden/>
    <w:unhideWhenUsed/>
    <w:qFormat/>
    <w:uiPriority w:val="99"/>
    <w:pPr>
      <w:ind w:left="100" w:leftChars="2500"/>
    </w:pPr>
  </w:style>
  <w:style w:type="paragraph" w:styleId="12">
    <w:name w:val="Balloon Text"/>
    <w:basedOn w:val="1"/>
    <w:link w:val="33"/>
    <w:semiHidden/>
    <w:unhideWhenUsed/>
    <w:qFormat/>
    <w:uiPriority w:val="99"/>
    <w:rPr>
      <w:rFonts w:ascii="宋体" w:eastAsia="宋体"/>
      <w:sz w:val="18"/>
      <w:szCs w:val="18"/>
    </w:rPr>
  </w:style>
  <w:style w:type="paragraph" w:styleId="13">
    <w:name w:val="footer"/>
    <w:basedOn w:val="1"/>
    <w:link w:val="32"/>
    <w:unhideWhenUsed/>
    <w:qFormat/>
    <w:uiPriority w:val="99"/>
    <w:pPr>
      <w:tabs>
        <w:tab w:val="center" w:pos="4153"/>
        <w:tab w:val="right" w:pos="8306"/>
      </w:tabs>
      <w:snapToGrid w:val="0"/>
      <w:jc w:val="left"/>
    </w:pPr>
    <w:rPr>
      <w:sz w:val="18"/>
      <w:szCs w:val="18"/>
    </w:rPr>
  </w:style>
  <w:style w:type="paragraph" w:styleId="14">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style>
  <w:style w:type="paragraph" w:styleId="16">
    <w:name w:val="toc 2"/>
    <w:basedOn w:val="1"/>
    <w:next w:val="1"/>
    <w:unhideWhenUsed/>
    <w:qFormat/>
    <w:uiPriority w:val="39"/>
    <w:pPr>
      <w:ind w:left="420" w:leftChars="200"/>
    </w:pPr>
  </w:style>
  <w:style w:type="paragraph" w:styleId="1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8">
    <w:name w:val="Normal (Web)"/>
    <w:basedOn w:val="1"/>
    <w:qFormat/>
    <w:uiPriority w:val="0"/>
    <w:pPr>
      <w:spacing w:before="100" w:beforeAutospacing="1" w:after="100" w:afterAutospacing="1"/>
      <w:ind w:left="0" w:right="0"/>
      <w:jc w:val="left"/>
    </w:pPr>
    <w:rPr>
      <w:kern w:val="0"/>
      <w:sz w:val="24"/>
      <w:lang w:val="en-US" w:eastAsia="zh-CN" w:bidi="ar"/>
    </w:rPr>
  </w:style>
  <w:style w:type="table" w:styleId="20">
    <w:name w:val="Table Grid"/>
    <w:basedOn w:val="1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22"/>
    <w:rPr>
      <w:b/>
    </w:rPr>
  </w:style>
  <w:style w:type="character" w:styleId="23">
    <w:name w:val="page number"/>
    <w:basedOn w:val="21"/>
    <w:semiHidden/>
    <w:unhideWhenUsed/>
    <w:qFormat/>
    <w:uiPriority w:val="99"/>
  </w:style>
  <w:style w:type="character" w:styleId="24">
    <w:name w:val="FollowedHyperlink"/>
    <w:basedOn w:val="21"/>
    <w:semiHidden/>
    <w:unhideWhenUsed/>
    <w:qFormat/>
    <w:uiPriority w:val="99"/>
    <w:rPr>
      <w:color w:val="954F72" w:themeColor="followedHyperlink"/>
      <w:u w:val="single"/>
      <w14:textFill>
        <w14:solidFill>
          <w14:schemeClr w14:val="folHlink"/>
        </w14:solidFill>
      </w14:textFill>
    </w:rPr>
  </w:style>
  <w:style w:type="character" w:styleId="25">
    <w:name w:val="Emphasis"/>
    <w:basedOn w:val="21"/>
    <w:qFormat/>
    <w:uiPriority w:val="20"/>
    <w:rPr>
      <w:i/>
    </w:rPr>
  </w:style>
  <w:style w:type="character" w:styleId="26">
    <w:name w:val="Hyperlink"/>
    <w:basedOn w:val="21"/>
    <w:unhideWhenUsed/>
    <w:qFormat/>
    <w:uiPriority w:val="99"/>
    <w:rPr>
      <w:color w:val="0563C1" w:themeColor="hyperlink"/>
      <w:u w:val="single"/>
      <w14:textFill>
        <w14:solidFill>
          <w14:schemeClr w14:val="hlink"/>
        </w14:solidFill>
      </w14:textFill>
    </w:rPr>
  </w:style>
  <w:style w:type="character" w:customStyle="1" w:styleId="27">
    <w:name w:val="正文文本 字符"/>
    <w:basedOn w:val="21"/>
    <w:link w:val="9"/>
    <w:qFormat/>
    <w:uiPriority w:val="0"/>
    <w:rPr>
      <w:rFonts w:ascii="Times New Roman" w:hAnsi="Times New Roman" w:eastAsia="仿宋_GB2312" w:cs="Times New Roman"/>
      <w:sz w:val="32"/>
    </w:rPr>
  </w:style>
  <w:style w:type="character" w:customStyle="1" w:styleId="28">
    <w:name w:val="标题 2 字符"/>
    <w:basedOn w:val="21"/>
    <w:link w:val="4"/>
    <w:qFormat/>
    <w:uiPriority w:val="9"/>
    <w:rPr>
      <w:rFonts w:ascii="Times New Roman" w:hAnsi="Times New Roman" w:eastAsia="SimSun-ExtB"/>
      <w:b/>
      <w:bCs/>
      <w:kern w:val="44"/>
      <w:sz w:val="24"/>
      <w:szCs w:val="44"/>
    </w:rPr>
  </w:style>
  <w:style w:type="character" w:customStyle="1" w:styleId="29">
    <w:name w:val="标题 1 字符"/>
    <w:basedOn w:val="21"/>
    <w:link w:val="3"/>
    <w:qFormat/>
    <w:uiPriority w:val="9"/>
    <w:rPr>
      <w:rFonts w:eastAsia="SimSun-ExtB"/>
      <w:b/>
      <w:bCs/>
      <w:kern w:val="44"/>
      <w:sz w:val="28"/>
      <w:szCs w:val="44"/>
    </w:rPr>
  </w:style>
  <w:style w:type="character" w:customStyle="1" w:styleId="30">
    <w:name w:val="标题 4 字符"/>
    <w:basedOn w:val="21"/>
    <w:link w:val="6"/>
    <w:qFormat/>
    <w:uiPriority w:val="9"/>
    <w:rPr>
      <w:rFonts w:asciiTheme="majorHAnsi" w:hAnsiTheme="majorHAnsi" w:eastAsiaTheme="majorEastAsia" w:cstheme="majorBidi"/>
      <w:b/>
      <w:bCs/>
      <w:sz w:val="28"/>
      <w:szCs w:val="28"/>
    </w:rPr>
  </w:style>
  <w:style w:type="character" w:customStyle="1" w:styleId="31">
    <w:name w:val="标题 3 字符"/>
    <w:basedOn w:val="21"/>
    <w:link w:val="5"/>
    <w:qFormat/>
    <w:uiPriority w:val="9"/>
    <w:rPr>
      <w:rFonts w:eastAsia="SimSun-ExtB"/>
      <w:b/>
      <w:bCs/>
      <w:sz w:val="24"/>
      <w:szCs w:val="32"/>
    </w:rPr>
  </w:style>
  <w:style w:type="character" w:customStyle="1" w:styleId="32">
    <w:name w:val="页脚 字符"/>
    <w:basedOn w:val="21"/>
    <w:link w:val="13"/>
    <w:qFormat/>
    <w:uiPriority w:val="99"/>
    <w:rPr>
      <w:sz w:val="18"/>
      <w:szCs w:val="18"/>
    </w:rPr>
  </w:style>
  <w:style w:type="character" w:customStyle="1" w:styleId="33">
    <w:name w:val="批注框文本 字符"/>
    <w:basedOn w:val="21"/>
    <w:link w:val="12"/>
    <w:semiHidden/>
    <w:qFormat/>
    <w:uiPriority w:val="99"/>
    <w:rPr>
      <w:rFonts w:ascii="宋体" w:eastAsia="宋体"/>
      <w:sz w:val="18"/>
      <w:szCs w:val="18"/>
    </w:rPr>
  </w:style>
  <w:style w:type="character" w:customStyle="1" w:styleId="34">
    <w:name w:val="日期 字符"/>
    <w:basedOn w:val="21"/>
    <w:link w:val="11"/>
    <w:semiHidden/>
    <w:qFormat/>
    <w:uiPriority w:val="99"/>
  </w:style>
  <w:style w:type="character" w:customStyle="1" w:styleId="35">
    <w:name w:val="未处理的提及1"/>
    <w:basedOn w:val="21"/>
    <w:semiHidden/>
    <w:unhideWhenUsed/>
    <w:qFormat/>
    <w:uiPriority w:val="99"/>
    <w:rPr>
      <w:color w:val="605E5C"/>
      <w:shd w:val="clear" w:color="auto" w:fill="E1DFDD"/>
    </w:rPr>
  </w:style>
  <w:style w:type="paragraph" w:styleId="36">
    <w:name w:val="List Paragraph"/>
    <w:basedOn w:val="1"/>
    <w:qFormat/>
    <w:uiPriority w:val="34"/>
    <w:pPr>
      <w:ind w:firstLine="420" w:firstLineChars="200"/>
    </w:pPr>
  </w:style>
  <w:style w:type="character" w:customStyle="1" w:styleId="37">
    <w:name w:val="页眉 字符"/>
    <w:basedOn w:val="21"/>
    <w:link w:val="14"/>
    <w:qFormat/>
    <w:uiPriority w:val="99"/>
    <w:rPr>
      <w:sz w:val="18"/>
      <w:szCs w:val="18"/>
    </w:rPr>
  </w:style>
  <w:style w:type="character" w:customStyle="1" w:styleId="38">
    <w:name w:val="未处理的提及2"/>
    <w:basedOn w:val="21"/>
    <w:semiHidden/>
    <w:unhideWhenUsed/>
    <w:qFormat/>
    <w:uiPriority w:val="99"/>
    <w:rPr>
      <w:color w:val="605E5C"/>
      <w:shd w:val="clear" w:color="auto" w:fill="E1DFDD"/>
    </w:rPr>
  </w:style>
  <w:style w:type="paragraph" w:customStyle="1" w:styleId="39">
    <w:name w:val="WPSOffice手动目录 1"/>
    <w:qFormat/>
    <w:uiPriority w:val="0"/>
    <w:pPr>
      <w:ind w:leftChars="0"/>
    </w:pPr>
    <w:rPr>
      <w:rFonts w:ascii="Times New Roman" w:hAnsi="Times New Roman" w:eastAsia="宋体" w:cs="Times New Roman"/>
      <w:sz w:val="20"/>
      <w:szCs w:val="20"/>
    </w:rPr>
  </w:style>
  <w:style w:type="paragraph" w:customStyle="1" w:styleId="40">
    <w:name w:val="WPSOffice手动目录 2"/>
    <w:qFormat/>
    <w:uiPriority w:val="0"/>
    <w:pPr>
      <w:ind w:leftChars="200"/>
    </w:pPr>
    <w:rPr>
      <w:rFonts w:ascii="Times New Roman" w:hAnsi="Times New Roman" w:eastAsia="宋体" w:cs="Times New Roman"/>
      <w:sz w:val="20"/>
      <w:szCs w:val="20"/>
    </w:rPr>
  </w:style>
  <w:style w:type="character" w:customStyle="1" w:styleId="41">
    <w:name w:val="NormalCharacter"/>
    <w:link w:val="1"/>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chart" Target="charts/chart2.xml"/><Relationship Id="rId11" Type="http://schemas.openxmlformats.org/officeDocument/2006/relationships/chart" Target="charts/chart1.xml"/><Relationship Id="rId10" Type="http://schemas.openxmlformats.org/officeDocument/2006/relationships/theme" Target="theme/theme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home\user\&#26700;&#38754;\20211008(&#37329;&#34701;&#21150;)2016-2018&#24180;&#37329;&#34701;&#19994;&#22686;&#21152;&#20540;.et"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data\usershare\%20PLN\PLN2021\10.13\&#37329;&#34701;&#26426;&#26500;.et"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050" b="0" i="0" u="none" strike="noStrike" kern="1200" spc="0" baseline="0">
                <a:solidFill>
                  <a:schemeClr val="tx1">
                    <a:lumMod val="65000"/>
                    <a:lumOff val="35000"/>
                  </a:schemeClr>
                </a:solidFill>
                <a:latin typeface="华文楷体" panose="02010600040101010101" charset="-122"/>
                <a:ea typeface="华文楷体" panose="02010600040101010101" charset="-122"/>
                <a:cs typeface="华文楷体" panose="02010600040101010101" charset="-122"/>
                <a:sym typeface="华文楷体" panose="02010600040101010101" charset="-122"/>
              </a:defRPr>
            </a:pPr>
            <a:r>
              <a:rPr lang="en-US" altLang="zh-CN" sz="1050" b="0" i="0" u="none" strike="noStrike" baseline="0">
                <a:solidFill>
                  <a:srgbClr val="333333"/>
                </a:solidFill>
                <a:latin typeface="华文楷体" panose="02010600040101010101" charset="-122"/>
                <a:ea typeface="华文楷体" panose="02010600040101010101" charset="-122"/>
                <a:cs typeface="华文楷体" panose="02010600040101010101" charset="-122"/>
                <a:sym typeface="华文楷体" panose="02010600040101010101" charset="-122"/>
              </a:rPr>
              <a:t>2016-2020</a:t>
            </a:r>
            <a:r>
              <a:rPr lang="zh-CN" altLang="en-US" sz="1050" b="0" i="0" u="none" strike="noStrike" baseline="0">
                <a:solidFill>
                  <a:srgbClr val="333333"/>
                </a:solidFill>
                <a:latin typeface="华文楷体" panose="02010600040101010101" charset="-122"/>
                <a:ea typeface="华文楷体" panose="02010600040101010101" charset="-122"/>
                <a:cs typeface="华文楷体" panose="02010600040101010101" charset="-122"/>
                <a:sym typeface="华文楷体" panose="02010600040101010101" charset="-122"/>
              </a:rPr>
              <a:t>年金融业增加值</a:t>
            </a:r>
            <a:endParaRPr lang="zh-CN" altLang="en-US" sz="1050" b="0" i="0" u="none" strike="noStrike" baseline="0">
              <a:solidFill>
                <a:srgbClr val="000000"/>
              </a:solidFill>
              <a:latin typeface="华文楷体" panose="02010600040101010101" charset="-122"/>
              <a:ea typeface="华文楷体" panose="02010600040101010101" charset="-122"/>
              <a:cs typeface="华文楷体" panose="02010600040101010101" charset="-122"/>
              <a:sym typeface="华文楷体" panose="02010600040101010101" charset="-122"/>
            </a:endParaRPr>
          </a:p>
        </c:rich>
      </c:tx>
      <c:layout/>
      <c:overlay val="0"/>
      <c:spPr>
        <a:noFill/>
        <a:ln>
          <a:noFill/>
        </a:ln>
        <a:effectLst/>
      </c:spPr>
    </c:title>
    <c:autoTitleDeleted val="0"/>
    <c:plotArea>
      <c:layout/>
      <c:barChart>
        <c:barDir val="col"/>
        <c:grouping val="clustered"/>
        <c:varyColors val="0"/>
        <c:ser>
          <c:idx val="0"/>
          <c:order val="0"/>
          <c:tx>
            <c:strRef>
              <c:f>'[20211008(金融办)2016-2018年金融业增加值.et]Sheet1'!$C$4</c:f>
              <c:strCache>
                <c:ptCount val="1"/>
                <c:pt idx="0">
                  <c:v>总量</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'[20211008(金融办)2016-2018年金融业增加值.et]Sheet1'!$B$5:$B$9</c:f>
              <c:strCache>
                <c:ptCount val="5"/>
                <c:pt idx="0">
                  <c:v>2016年</c:v>
                </c:pt>
                <c:pt idx="1">
                  <c:v>2017年</c:v>
                </c:pt>
                <c:pt idx="2">
                  <c:v>2018年</c:v>
                </c:pt>
                <c:pt idx="3">
                  <c:v>2019年</c:v>
                </c:pt>
                <c:pt idx="4">
                  <c:v>2020年</c:v>
                </c:pt>
              </c:strCache>
            </c:strRef>
          </c:cat>
          <c:val>
            <c:numRef>
              <c:f>'[20211008(金融办)2016-2018年金融业增加值.et]Sheet1'!$C$5:$C$9</c:f>
              <c:numCache>
                <c:formatCode>General</c:formatCode>
                <c:ptCount val="5"/>
                <c:pt idx="0">
                  <c:v>121.66</c:v>
                </c:pt>
                <c:pt idx="1">
                  <c:v>129.9</c:v>
                </c:pt>
                <c:pt idx="2">
                  <c:v>135.74</c:v>
                </c:pt>
                <c:pt idx="3">
                  <c:v>149.59</c:v>
                </c:pt>
                <c:pt idx="4">
                  <c:v>155.83</c:v>
                </c:pt>
              </c:numCache>
            </c:numRef>
          </c:val>
        </c:ser>
        <c:dLbls>
          <c:showLegendKey val="0"/>
          <c:showVal val="0"/>
          <c:showCatName val="0"/>
          <c:showSerName val="0"/>
          <c:showPercent val="0"/>
          <c:showBubbleSize val="0"/>
        </c:dLbls>
        <c:gapWidth val="219"/>
        <c:overlap val="-27"/>
        <c:axId val="248997488"/>
        <c:axId val="248998048"/>
      </c:barChart>
      <c:lineChart>
        <c:grouping val="standard"/>
        <c:varyColors val="0"/>
        <c:ser>
          <c:idx val="1"/>
          <c:order val="1"/>
          <c:tx>
            <c:strRef>
              <c:f>'[20211008(金融办)2016-2018年金融业增加值.et]Sheet1'!$D$4</c:f>
              <c:strCache>
                <c:ptCount val="1"/>
                <c:pt idx="0">
                  <c:v>增速</c:v>
                </c:pt>
              </c:strCache>
            </c:strRef>
          </c:tx>
          <c:spPr>
            <a:ln w="19050" cap="rnd" cmpd="sng" algn="ctr">
              <a:solidFill>
                <a:schemeClr val="accent5"/>
              </a:solidFill>
              <a:prstDash val="solid"/>
              <a:round/>
            </a:ln>
            <a:effectLst/>
          </c:spPr>
          <c:marker>
            <c:symbol val="circle"/>
            <c:size val="5"/>
            <c:spPr>
              <a:solidFill>
                <a:schemeClr val="accent5"/>
              </a:solidFill>
              <a:ln w="6350" cap="flat" cmpd="sng" algn="ctr">
                <a:solidFill>
                  <a:schemeClr val="accent5"/>
                </a:solidFill>
                <a:prstDash val="solid"/>
                <a:round/>
              </a:ln>
              <a:effectLst/>
            </c:spPr>
          </c:marker>
          <c:dLbls>
            <c:dLbl>
              <c:idx val="2"/>
              <c:layout>
                <c:manualLayout>
                  <c:x val="-0.00417827298050139"/>
                  <c:y val="0.031039834454216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431754874651811"/>
                  <c:y val="-0.031039834454216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'[20211008(金融办)2016-2018年金融业增加值.et]Sheet1'!$B$5:$B$9</c:f>
              <c:strCache>
                <c:ptCount val="5"/>
                <c:pt idx="0">
                  <c:v>2016年</c:v>
                </c:pt>
                <c:pt idx="1">
                  <c:v>2017年</c:v>
                </c:pt>
                <c:pt idx="2">
                  <c:v>2018年</c:v>
                </c:pt>
                <c:pt idx="3">
                  <c:v>2019年</c:v>
                </c:pt>
                <c:pt idx="4">
                  <c:v>2020年</c:v>
                </c:pt>
              </c:strCache>
            </c:strRef>
          </c:cat>
          <c:val>
            <c:numRef>
              <c:f>'[20211008(金融办)2016-2018年金融业增加值.et]Sheet1'!$D$5:$D$9</c:f>
              <c:numCache>
                <c:formatCode>0.00%</c:formatCode>
                <c:ptCount val="5"/>
                <c:pt idx="0">
                  <c:v>0.157</c:v>
                </c:pt>
                <c:pt idx="1">
                  <c:v>0.044</c:v>
                </c:pt>
                <c:pt idx="2">
                  <c:v>-0.013</c:v>
                </c:pt>
                <c:pt idx="3">
                  <c:v>0.071</c:v>
                </c:pt>
                <c:pt idx="4" c:formatCode="0%">
                  <c:v>0.05</c:v>
                </c:pt>
              </c:numCache>
            </c:numRef>
          </c:val>
          <c:smooth val="0"/>
        </c:ser>
        <c:ser>
          <c:idx val="2"/>
          <c:order val="2"/>
          <c:tx>
            <c:strRef>
              <c:f>'[20211008(金融办)2016-2018年金融业增加值.et]Sheet1'!$E$4</c:f>
              <c:strCache>
                <c:ptCount val="1"/>
                <c:pt idx="0">
                  <c:v>占地区生产总值的比重</c:v>
                </c:pt>
              </c:strCache>
            </c:strRef>
          </c:tx>
          <c:spPr>
            <a:ln w="19050" cap="rnd" cmpd="sng" algn="ctr">
              <a:solidFill>
                <a:schemeClr val="accent4"/>
              </a:solidFill>
              <a:prstDash val="solid"/>
              <a:round/>
            </a:ln>
            <a:effectLst/>
          </c:spPr>
          <c:marker>
            <c:symbol val="circle"/>
            <c:size val="5"/>
            <c:spPr>
              <a:solidFill>
                <a:schemeClr val="accent4"/>
              </a:solidFill>
              <a:ln w="6350" cap="flat" cmpd="sng" algn="ctr">
                <a:solidFill>
                  <a:schemeClr val="accent4"/>
                </a:solidFill>
                <a:prstDash val="solid"/>
                <a:round/>
              </a:ln>
              <a:effectLst/>
            </c:spPr>
          </c:marker>
          <c:dLbls>
            <c:dLbl>
              <c:idx val="3"/>
              <c:layout>
                <c:manualLayout>
                  <c:x val="-0.0292479108635097"/>
                  <c:y val="0.033626487325400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'[20211008(金融办)2016-2018年金融业增加值.et]Sheet1'!$B$5:$B$9</c:f>
              <c:strCache>
                <c:ptCount val="5"/>
                <c:pt idx="0">
                  <c:v>2016年</c:v>
                </c:pt>
                <c:pt idx="1">
                  <c:v>2017年</c:v>
                </c:pt>
                <c:pt idx="2">
                  <c:v>2018年</c:v>
                </c:pt>
                <c:pt idx="3">
                  <c:v>2019年</c:v>
                </c:pt>
                <c:pt idx="4">
                  <c:v>2020年</c:v>
                </c:pt>
              </c:strCache>
            </c:strRef>
          </c:cat>
          <c:val>
            <c:numRef>
              <c:f>'[20211008(金融办)2016-2018年金融业增加值.et]Sheet1'!$E$5:$E$9</c:f>
              <c:numCache>
                <c:formatCode>0.00%</c:formatCode>
                <c:ptCount val="5"/>
                <c:pt idx="0">
                  <c:v>0.063</c:v>
                </c:pt>
                <c:pt idx="1">
                  <c:v>0.063</c:v>
                </c:pt>
                <c:pt idx="2">
                  <c:v>0.063</c:v>
                </c:pt>
                <c:pt idx="3">
                  <c:v>0.066</c:v>
                </c:pt>
                <c:pt idx="4">
                  <c:v>0.067</c:v>
                </c:pt>
              </c:numCache>
            </c:numRef>
          </c:val>
          <c:smooth val="0"/>
        </c:ser>
        <c:ser>
          <c:idx val="3"/>
          <c:order val="3"/>
          <c:tx>
            <c:strRef>
              <c:f>'[20211008(金融办)2016-2018年金融业增加值.et]Sheet1'!$F$4</c:f>
              <c:strCache>
                <c:ptCount val="1"/>
                <c:pt idx="0">
                  <c:v>占服务业增加值比重</c:v>
                </c:pt>
              </c:strCache>
            </c:strRef>
          </c:tx>
          <c:spPr>
            <a:ln w="19050" cap="rnd" cmpd="sng" algn="ctr">
              <a:solidFill>
                <a:schemeClr val="accent6">
                  <a:lumMod val="60000"/>
                </a:schemeClr>
              </a:solidFill>
              <a:prstDash val="solid"/>
              <a:round/>
            </a:ln>
            <a:effectLst/>
          </c:spPr>
          <c:marker>
            <c:spPr>
              <a:noFill/>
              <a:ln w="6350" cap="flat" cmpd="sng" algn="ctr">
                <a:solidFill>
                  <a:schemeClr val="accent6">
                    <a:lumMod val="60000"/>
                  </a:schemeClr>
                </a:solidFill>
                <a:prstDash val="solid"/>
                <a:round/>
              </a:ln>
              <a:effectLst/>
            </c:spPr>
          </c:marker>
          <c:dLbls>
            <c:dLbl>
              <c:idx val="0"/>
              <c:layout>
                <c:manualLayout>
                  <c:x val="0.00723327305605787"/>
                  <c:y val="-0.012539184952978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025866528711846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'[20211008(金融办)2016-2018年金融业增加值.et]Sheet1'!$B$5:$B$9</c:f>
              <c:strCache>
                <c:ptCount val="5"/>
                <c:pt idx="0">
                  <c:v>2016年</c:v>
                </c:pt>
                <c:pt idx="1">
                  <c:v>2017年</c:v>
                </c:pt>
                <c:pt idx="2">
                  <c:v>2018年</c:v>
                </c:pt>
                <c:pt idx="3">
                  <c:v>2019年</c:v>
                </c:pt>
                <c:pt idx="4">
                  <c:v>2020年</c:v>
                </c:pt>
              </c:strCache>
            </c:strRef>
          </c:cat>
          <c:val>
            <c:numRef>
              <c:f>'[20211008(金融办)2016-2018年金融业增加值.et]Sheet1'!$F$5:$F$9</c:f>
              <c:numCache>
                <c:formatCode>0.00%</c:formatCode>
                <c:ptCount val="5"/>
                <c:pt idx="0">
                  <c:v>0.137</c:v>
                </c:pt>
                <c:pt idx="1">
                  <c:v>0.133</c:v>
                </c:pt>
                <c:pt idx="2">
                  <c:v>0.129</c:v>
                </c:pt>
                <c:pt idx="3">
                  <c:v>0.132</c:v>
                </c:pt>
                <c:pt idx="4">
                  <c:v>0.131</c:v>
                </c:pt>
              </c:numCache>
            </c:numRef>
          </c:val>
          <c:smooth val="0"/>
        </c:ser>
        <c:dLbls>
          <c:showLegendKey val="0"/>
          <c:showVal val="0"/>
          <c:showCatName val="0"/>
          <c:showSerName val="0"/>
          <c:showPercent val="0"/>
          <c:showBubbleSize val="0"/>
        </c:dLbls>
        <c:marker val="1"/>
        <c:smooth val="0"/>
        <c:axId val="248998608"/>
        <c:axId val="248999168"/>
      </c:lineChart>
      <c:catAx>
        <c:axId val="24899748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8998048"/>
        <c:crosses val="autoZero"/>
        <c:auto val="1"/>
        <c:lblAlgn val="ctr"/>
        <c:lblOffset val="100"/>
        <c:noMultiLvlLbl val="0"/>
      </c:catAx>
      <c:valAx>
        <c:axId val="248998048"/>
        <c:scaling>
          <c:orientation val="minMax"/>
          <c:max val="160"/>
          <c:min val="-40"/>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8997488"/>
        <c:crosses val="autoZero"/>
        <c:crossBetween val="between"/>
      </c:valAx>
      <c:catAx>
        <c:axId val="248998608"/>
        <c:scaling>
          <c:orientation val="minMax"/>
        </c:scaling>
        <c:delete val="1"/>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48999168"/>
        <c:crosses val="autoZero"/>
        <c:auto val="1"/>
        <c:lblAlgn val="ctr"/>
        <c:lblOffset val="100"/>
        <c:noMultiLvlLbl val="0"/>
      </c:catAx>
      <c:valAx>
        <c:axId val="248999168"/>
        <c:scaling>
          <c:orientation val="minMax"/>
          <c:max val="0.16"/>
        </c:scaling>
        <c:delete val="0"/>
        <c:axPos val="r"/>
        <c:numFmt formatCode="0%" sourceLinked="0"/>
        <c:majorTickMark val="out"/>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8998608"/>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050" b="0" i="0" u="none" strike="noStrike" kern="1200" spc="0" baseline="0">
                <a:solidFill>
                  <a:schemeClr val="tx1">
                    <a:lumMod val="65000"/>
                    <a:lumOff val="35000"/>
                  </a:schemeClr>
                </a:solidFill>
                <a:latin typeface="华文楷体" panose="02010600040101010101" charset="-122"/>
                <a:ea typeface="华文楷体" panose="02010600040101010101" charset="-122"/>
                <a:cs typeface="华文楷体" panose="02010600040101010101" charset="-122"/>
                <a:sym typeface="华文楷体" panose="02010600040101010101" charset="-122"/>
              </a:defRPr>
            </a:pPr>
            <a:r>
              <a:rPr lang="en-US" altLang="zh-CN" sz="1050" b="0" i="0" u="none" strike="noStrike" baseline="0">
                <a:solidFill>
                  <a:srgbClr val="333333"/>
                </a:solidFill>
                <a:latin typeface="华文楷体" panose="02010600040101010101" charset="-122"/>
                <a:ea typeface="华文楷体" panose="02010600040101010101" charset="-122"/>
                <a:cs typeface="华文楷体" panose="02010600040101010101" charset="-122"/>
                <a:sym typeface="华文楷体" panose="02010600040101010101" charset="-122"/>
              </a:rPr>
              <a:t>2016-2020</a:t>
            </a:r>
            <a:r>
              <a:rPr lang="zh-CN" altLang="en-US" sz="1050" b="0" i="0" u="none" strike="noStrike" baseline="0">
                <a:solidFill>
                  <a:srgbClr val="333333"/>
                </a:solidFill>
                <a:latin typeface="华文楷体" panose="02010600040101010101" charset="-122"/>
                <a:ea typeface="华文楷体" panose="02010600040101010101" charset="-122"/>
                <a:cs typeface="华文楷体" panose="02010600040101010101" charset="-122"/>
                <a:sym typeface="华文楷体" panose="02010600040101010101" charset="-122"/>
              </a:rPr>
              <a:t>年金融</a:t>
            </a:r>
            <a:r>
              <a:rPr lang="zh-CN" altLang="en-US" sz="1050" b="0" i="0" u="none" strike="noStrike" baseline="0">
                <a:solidFill>
                  <a:schemeClr val="tx1"/>
                </a:solidFill>
                <a:latin typeface="华文楷体" panose="02010600040101010101" charset="-122"/>
                <a:ea typeface="华文楷体" panose="02010600040101010101" charset="-122"/>
                <a:cs typeface="华文楷体" panose="02010600040101010101" charset="-122"/>
                <a:sym typeface="华文楷体" panose="02010600040101010101" charset="-122"/>
              </a:rPr>
              <a:t>机构</a:t>
            </a:r>
            <a:r>
              <a:rPr lang="zh-CN" altLang="en-US" sz="1050" b="0" i="0" u="none" strike="noStrike" baseline="0">
                <a:solidFill>
                  <a:srgbClr val="333333"/>
                </a:solidFill>
                <a:latin typeface="华文楷体" panose="02010600040101010101" charset="-122"/>
                <a:ea typeface="华文楷体" panose="02010600040101010101" charset="-122"/>
                <a:cs typeface="华文楷体" panose="02010600040101010101" charset="-122"/>
                <a:sym typeface="华文楷体" panose="02010600040101010101" charset="-122"/>
              </a:rPr>
              <a:t>数量及增速</a:t>
            </a:r>
            <a:endParaRPr lang="zh-CN" altLang="en-US" sz="1050" b="0" i="0" u="none" strike="noStrike" baseline="0">
              <a:solidFill>
                <a:srgbClr val="000000"/>
              </a:solidFill>
              <a:latin typeface="华文楷体" panose="02010600040101010101" charset="-122"/>
              <a:ea typeface="华文楷体" panose="02010600040101010101" charset="-122"/>
              <a:cs typeface="华文楷体" panose="02010600040101010101" charset="-122"/>
              <a:sym typeface="华文楷体" panose="02010600040101010101" charset="-122"/>
            </a:endParaRPr>
          </a:p>
        </c:rich>
      </c:tx>
      <c:layout/>
      <c:overlay val="0"/>
      <c:spPr>
        <a:noFill/>
        <a:ln>
          <a:noFill/>
        </a:ln>
        <a:effectLst/>
      </c:spPr>
    </c:title>
    <c:autoTitleDeleted val="0"/>
    <c:plotArea>
      <c:layout/>
      <c:barChart>
        <c:barDir val="col"/>
        <c:grouping val="clustered"/>
        <c:varyColors val="0"/>
        <c:ser>
          <c:idx val="0"/>
          <c:order val="0"/>
          <c:tx>
            <c:strRef>
              <c:f>金融机构.et!$A$49</c:f>
              <c:strCache>
                <c:ptCount val="1"/>
                <c:pt idx="0">
                  <c:v>证券机构数量</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金融机构.et!$B$48:$F$48</c:f>
              <c:strCache>
                <c:ptCount val="5"/>
                <c:pt idx="0">
                  <c:v>2016年</c:v>
                </c:pt>
                <c:pt idx="1">
                  <c:v>2017年</c:v>
                </c:pt>
                <c:pt idx="2">
                  <c:v>2018年</c:v>
                </c:pt>
                <c:pt idx="3">
                  <c:v>2019年</c:v>
                </c:pt>
                <c:pt idx="4">
                  <c:v>2020年</c:v>
                </c:pt>
              </c:strCache>
            </c:strRef>
          </c:cat>
          <c:val>
            <c:numRef>
              <c:f>金融机构.et!$B$49:$F$49</c:f>
              <c:numCache>
                <c:formatCode>General</c:formatCode>
                <c:ptCount val="5"/>
                <c:pt idx="0">
                  <c:v>11</c:v>
                </c:pt>
                <c:pt idx="1">
                  <c:v>13</c:v>
                </c:pt>
                <c:pt idx="2">
                  <c:v>13</c:v>
                </c:pt>
                <c:pt idx="3">
                  <c:v>13</c:v>
                </c:pt>
                <c:pt idx="4">
                  <c:v>14</c:v>
                </c:pt>
              </c:numCache>
            </c:numRef>
          </c:val>
        </c:ser>
        <c:ser>
          <c:idx val="2"/>
          <c:order val="2"/>
          <c:tx>
            <c:strRef>
              <c:f>金融机构.et!$A$51</c:f>
              <c:strCache>
                <c:ptCount val="1"/>
                <c:pt idx="0">
                  <c:v>保险机构数量</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金融机构.et!$B$48:$F$48</c:f>
              <c:strCache>
                <c:ptCount val="5"/>
                <c:pt idx="0">
                  <c:v>2016年</c:v>
                </c:pt>
                <c:pt idx="1">
                  <c:v>2017年</c:v>
                </c:pt>
                <c:pt idx="2">
                  <c:v>2018年</c:v>
                </c:pt>
                <c:pt idx="3">
                  <c:v>2019年</c:v>
                </c:pt>
                <c:pt idx="4">
                  <c:v>2020年</c:v>
                </c:pt>
              </c:strCache>
            </c:strRef>
          </c:cat>
          <c:val>
            <c:numRef>
              <c:f>金融机构.et!$B$51:$F$51</c:f>
              <c:numCache>
                <c:formatCode>General</c:formatCode>
                <c:ptCount val="5"/>
                <c:pt idx="0">
                  <c:v>49</c:v>
                </c:pt>
                <c:pt idx="1">
                  <c:v>52</c:v>
                </c:pt>
                <c:pt idx="2">
                  <c:v>56</c:v>
                </c:pt>
                <c:pt idx="3">
                  <c:v>56</c:v>
                </c:pt>
                <c:pt idx="4">
                  <c:v>56</c:v>
                </c:pt>
              </c:numCache>
            </c:numRef>
          </c:val>
        </c:ser>
        <c:ser>
          <c:idx val="4"/>
          <c:order val="4"/>
          <c:tx>
            <c:strRef>
              <c:f>金融机构.et!$A$53</c:f>
              <c:strCache>
                <c:ptCount val="1"/>
                <c:pt idx="0">
                  <c:v>银行机构数量</c:v>
                </c:pt>
              </c:strCache>
            </c:strRef>
          </c:tx>
          <c:spPr>
            <a:solidFill>
              <a:schemeClr val="accent4">
                <a:lumMod val="6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金融机构.et!$B$48:$F$48</c:f>
              <c:strCache>
                <c:ptCount val="5"/>
                <c:pt idx="0">
                  <c:v>2016年</c:v>
                </c:pt>
                <c:pt idx="1">
                  <c:v>2017年</c:v>
                </c:pt>
                <c:pt idx="2">
                  <c:v>2018年</c:v>
                </c:pt>
                <c:pt idx="3">
                  <c:v>2019年</c:v>
                </c:pt>
                <c:pt idx="4">
                  <c:v>2020年</c:v>
                </c:pt>
              </c:strCache>
            </c:strRef>
          </c:cat>
          <c:val>
            <c:numRef>
              <c:f>金融机构.et!$B$53:$F$53</c:f>
              <c:numCache>
                <c:formatCode>General</c:formatCode>
                <c:ptCount val="5"/>
                <c:pt idx="0">
                  <c:v>18</c:v>
                </c:pt>
                <c:pt idx="1">
                  <c:v>20</c:v>
                </c:pt>
                <c:pt idx="2">
                  <c:v>22</c:v>
                </c:pt>
                <c:pt idx="3">
                  <c:v>23</c:v>
                </c:pt>
                <c:pt idx="4">
                  <c:v>23</c:v>
                </c:pt>
              </c:numCache>
            </c:numRef>
          </c:val>
        </c:ser>
        <c:dLbls>
          <c:showLegendKey val="0"/>
          <c:showVal val="0"/>
          <c:showCatName val="0"/>
          <c:showSerName val="0"/>
          <c:showPercent val="0"/>
          <c:showBubbleSize val="0"/>
        </c:dLbls>
        <c:gapWidth val="219"/>
        <c:overlap val="-27"/>
        <c:axId val="249004208"/>
        <c:axId val="249004768"/>
      </c:barChart>
      <c:lineChart>
        <c:grouping val="standard"/>
        <c:varyColors val="0"/>
        <c:ser>
          <c:idx val="1"/>
          <c:order val="1"/>
          <c:tx>
            <c:strRef>
              <c:f>金融机构.et!$A$50</c:f>
              <c:strCache>
                <c:ptCount val="1"/>
                <c:pt idx="0">
                  <c:v>证券机构增速</c:v>
                </c:pt>
              </c:strCache>
            </c:strRef>
          </c:tx>
          <c:spPr>
            <a:ln w="19050" cap="rnd" cmpd="sng" algn="ctr">
              <a:solidFill>
                <a:schemeClr val="accent4"/>
              </a:solidFill>
              <a:prstDash val="solid"/>
              <a:round/>
            </a:ln>
            <a:effectLst/>
          </c:spPr>
          <c:marker>
            <c:symbol val="circle"/>
            <c:size val="5"/>
            <c:spPr>
              <a:solidFill>
                <a:schemeClr val="accent4"/>
              </a:solidFill>
              <a:ln w="6350" cap="flat" cmpd="sng" algn="ctr">
                <a:solidFill>
                  <a:schemeClr val="accent4"/>
                </a:solidFill>
                <a:prstDash val="solid"/>
                <a:round/>
              </a:ln>
              <a:effectLst/>
            </c:spPr>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金融机构.et!$B$48:$F$48</c:f>
              <c:strCache>
                <c:ptCount val="5"/>
                <c:pt idx="0">
                  <c:v>2016年</c:v>
                </c:pt>
                <c:pt idx="1">
                  <c:v>2017年</c:v>
                </c:pt>
                <c:pt idx="2">
                  <c:v>2018年</c:v>
                </c:pt>
                <c:pt idx="3">
                  <c:v>2019年</c:v>
                </c:pt>
                <c:pt idx="4">
                  <c:v>2020年</c:v>
                </c:pt>
              </c:strCache>
            </c:strRef>
          </c:cat>
          <c:val>
            <c:numRef>
              <c:f>金融机构.et!$B$50:$F$50</c:f>
              <c:numCache>
                <c:formatCode>0.0%</c:formatCode>
                <c:ptCount val="5"/>
                <c:pt idx="0">
                  <c:v>0.571</c:v>
                </c:pt>
                <c:pt idx="1">
                  <c:v>0.182</c:v>
                </c:pt>
                <c:pt idx="2">
                  <c:v>0</c:v>
                </c:pt>
                <c:pt idx="3">
                  <c:v>0</c:v>
                </c:pt>
                <c:pt idx="4">
                  <c:v>0.077</c:v>
                </c:pt>
              </c:numCache>
            </c:numRef>
          </c:val>
          <c:smooth val="0"/>
        </c:ser>
        <c:ser>
          <c:idx val="3"/>
          <c:order val="3"/>
          <c:tx>
            <c:strRef>
              <c:f>金融机构.et!$A$52</c:f>
              <c:strCache>
                <c:ptCount val="1"/>
                <c:pt idx="0">
                  <c:v>保险机构增速</c:v>
                </c:pt>
              </c:strCache>
            </c:strRef>
          </c:tx>
          <c:spPr>
            <a:ln w="19050" cap="rnd" cmpd="sng" algn="ctr">
              <a:solidFill>
                <a:schemeClr val="accent2">
                  <a:lumMod val="60000"/>
                </a:schemeClr>
              </a:solidFill>
              <a:prstDash val="solid"/>
              <a:round/>
            </a:ln>
            <a:effectLst/>
          </c:spPr>
          <c:marker>
            <c:symbol val="none"/>
          </c:marker>
          <c:dLbls>
            <c:dLbl>
              <c:idx val="2"/>
              <c:layout>
                <c:manualLayout>
                  <c:x val="0"/>
                  <c:y val="0.026143790849673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金融机构.et!$B$48:$F$48</c:f>
              <c:strCache>
                <c:ptCount val="5"/>
                <c:pt idx="0">
                  <c:v>2016年</c:v>
                </c:pt>
                <c:pt idx="1">
                  <c:v>2017年</c:v>
                </c:pt>
                <c:pt idx="2">
                  <c:v>2018年</c:v>
                </c:pt>
                <c:pt idx="3">
                  <c:v>2019年</c:v>
                </c:pt>
                <c:pt idx="4">
                  <c:v>2020年</c:v>
                </c:pt>
              </c:strCache>
            </c:strRef>
          </c:cat>
          <c:val>
            <c:numRef>
              <c:f>金融机构.et!$B$52:$F$52</c:f>
              <c:numCache>
                <c:formatCode>0.0%</c:formatCode>
                <c:ptCount val="5"/>
                <c:pt idx="0">
                  <c:v>0.14</c:v>
                </c:pt>
                <c:pt idx="1">
                  <c:v>0.061</c:v>
                </c:pt>
                <c:pt idx="2">
                  <c:v>0.077</c:v>
                </c:pt>
                <c:pt idx="3">
                  <c:v>0</c:v>
                </c:pt>
                <c:pt idx="4">
                  <c:v>0</c:v>
                </c:pt>
              </c:numCache>
            </c:numRef>
          </c:val>
          <c:smooth val="0"/>
        </c:ser>
        <c:ser>
          <c:idx val="5"/>
          <c:order val="5"/>
          <c:tx>
            <c:strRef>
              <c:f>金融机构.et!$A$54</c:f>
              <c:strCache>
                <c:ptCount val="1"/>
                <c:pt idx="0">
                  <c:v>银行机构增速</c:v>
                </c:pt>
              </c:strCache>
            </c:strRef>
          </c:tx>
          <c:spPr>
            <a:ln w="19050" cap="rnd" cmpd="sng" algn="ctr">
              <a:solidFill>
                <a:schemeClr val="accent6">
                  <a:lumMod val="60000"/>
                </a:schemeClr>
              </a:solidFill>
              <a:prstDash val="solid"/>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金融机构.et!$B$48:$F$48</c:f>
              <c:strCache>
                <c:ptCount val="5"/>
                <c:pt idx="0">
                  <c:v>2016年</c:v>
                </c:pt>
                <c:pt idx="1">
                  <c:v>2017年</c:v>
                </c:pt>
                <c:pt idx="2">
                  <c:v>2018年</c:v>
                </c:pt>
                <c:pt idx="3">
                  <c:v>2019年</c:v>
                </c:pt>
                <c:pt idx="4">
                  <c:v>2020年</c:v>
                </c:pt>
              </c:strCache>
            </c:strRef>
          </c:cat>
          <c:val>
            <c:numRef>
              <c:f>金融机构.et!$B$54:$F$54</c:f>
              <c:numCache>
                <c:formatCode>0.0%</c:formatCode>
                <c:ptCount val="5"/>
                <c:pt idx="0">
                  <c:v>0.059</c:v>
                </c:pt>
                <c:pt idx="1">
                  <c:v>0.111</c:v>
                </c:pt>
                <c:pt idx="2">
                  <c:v>0.1</c:v>
                </c:pt>
                <c:pt idx="3">
                  <c:v>0.045</c:v>
                </c:pt>
                <c:pt idx="4">
                  <c:v>0</c:v>
                </c:pt>
              </c:numCache>
            </c:numRef>
          </c:val>
          <c:smooth val="0"/>
        </c:ser>
        <c:dLbls>
          <c:showLegendKey val="0"/>
          <c:showVal val="0"/>
          <c:showCatName val="0"/>
          <c:showSerName val="0"/>
          <c:showPercent val="0"/>
          <c:showBubbleSize val="0"/>
        </c:dLbls>
        <c:marker val="1"/>
        <c:smooth val="0"/>
        <c:axId val="250615728"/>
        <c:axId val="250616288"/>
      </c:lineChart>
      <c:catAx>
        <c:axId val="2490042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9004768"/>
        <c:crosses val="autoZero"/>
        <c:auto val="1"/>
        <c:lblAlgn val="ctr"/>
        <c:lblOffset val="100"/>
        <c:noMultiLvlLbl val="0"/>
      </c:catAx>
      <c:valAx>
        <c:axId val="24900476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9004208"/>
        <c:crosses val="autoZero"/>
        <c:crossBetween val="between"/>
      </c:valAx>
      <c:catAx>
        <c:axId val="250615728"/>
        <c:scaling>
          <c:orientation val="minMax"/>
        </c:scaling>
        <c:delete val="1"/>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50616288"/>
        <c:crosses val="autoZero"/>
        <c:auto val="1"/>
        <c:lblAlgn val="ctr"/>
        <c:lblOffset val="100"/>
        <c:noMultiLvlLbl val="0"/>
      </c:catAx>
      <c:valAx>
        <c:axId val="250616288"/>
        <c:scaling>
          <c:orientation val="minMax"/>
        </c:scaling>
        <c:delete val="0"/>
        <c:axPos val="r"/>
        <c:numFmt formatCode="0%" sourceLinked="0"/>
        <c:majorTickMark val="out"/>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0615728"/>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245fdea-09f2-4e1a-b41c-282b93347a15}"/>
        <w:style w:val=""/>
        <w:category>
          <w:name w:val="常规"/>
          <w:gallery w:val="placeholder"/>
        </w:category>
        <w:types>
          <w:type w:val="bbPlcHdr"/>
        </w:types>
        <w:behaviors>
          <w:behavior w:val="content"/>
        </w:behaviors>
        <w:description w:val=""/>
        <w:guid w:val="{5245fdea-09f2-4e1a-b41c-282b93347a15}"/>
      </w:docPartPr>
      <w:docPartBody>
        <w:p>
          <w:r>
            <w:rPr>
              <w:color w:val="808080"/>
            </w:rPr>
            <w:t>单击此处输入文字。</w:t>
          </w:r>
        </w:p>
      </w:docPartBody>
    </w:docPart>
    <w:docPart>
      <w:docPartPr>
        <w:name w:val="{addca61e-5c57-479e-9a23-2c2f1f7fb867}"/>
        <w:style w:val=""/>
        <w:category>
          <w:name w:val="常规"/>
          <w:gallery w:val="placeholder"/>
        </w:category>
        <w:types>
          <w:type w:val="bbPlcHdr"/>
        </w:types>
        <w:behaviors>
          <w:behavior w:val="content"/>
        </w:behaviors>
        <w:description w:val=""/>
        <w:guid w:val="{addca61e-5c57-479e-9a23-2c2f1f7fb867}"/>
      </w:docPartPr>
      <w:docPartBody>
        <w:p>
          <w:r>
            <w:rPr>
              <w:color w:val="808080"/>
            </w:rPr>
            <w:t>单击此处输入文字。</w:t>
          </w:r>
        </w:p>
      </w:docPartBody>
    </w:docPart>
    <w:docPart>
      <w:docPartPr>
        <w:name w:val="{467d08bb-86c3-42ff-9d96-fddb6fc4fc08}"/>
        <w:style w:val=""/>
        <w:category>
          <w:name w:val="常规"/>
          <w:gallery w:val="placeholder"/>
        </w:category>
        <w:types>
          <w:type w:val="bbPlcHdr"/>
        </w:types>
        <w:behaviors>
          <w:behavior w:val="content"/>
        </w:behaviors>
        <w:description w:val=""/>
        <w:guid w:val="{467d08bb-86c3-42ff-9d96-fddb6fc4fc08}"/>
      </w:docPartPr>
      <w:docPartBody>
        <w:p>
          <w:r>
            <w:rPr>
              <w:color w:val="808080"/>
            </w:rPr>
            <w:t>单击此处输入文字。</w:t>
          </w:r>
        </w:p>
      </w:docPartBody>
    </w:docPart>
    <w:docPart>
      <w:docPartPr>
        <w:name w:val="{66b7e53f-60fa-4be0-8b77-41c6c45d21da}"/>
        <w:style w:val=""/>
        <w:category>
          <w:name w:val="常规"/>
          <w:gallery w:val="placeholder"/>
        </w:category>
        <w:types>
          <w:type w:val="bbPlcHdr"/>
        </w:types>
        <w:behaviors>
          <w:behavior w:val="content"/>
        </w:behaviors>
        <w:description w:val=""/>
        <w:guid w:val="{66b7e53f-60fa-4be0-8b77-41c6c45d21da}"/>
      </w:docPartPr>
      <w:docPartBody>
        <w:p>
          <w:r>
            <w:rPr>
              <w:color w:val="808080"/>
            </w:rPr>
            <w:t>单击此处输入文字。</w:t>
          </w:r>
        </w:p>
      </w:docPartBody>
    </w:docPart>
    <w:docPart>
      <w:docPartPr>
        <w:name w:val="{2b7f1481-8460-4b40-afb7-c690eb7a07fc}"/>
        <w:style w:val=""/>
        <w:category>
          <w:name w:val="常规"/>
          <w:gallery w:val="placeholder"/>
        </w:category>
        <w:types>
          <w:type w:val="bbPlcHdr"/>
        </w:types>
        <w:behaviors>
          <w:behavior w:val="content"/>
        </w:behaviors>
        <w:description w:val=""/>
        <w:guid w:val="{2b7f1481-8460-4b40-afb7-c690eb7a07fc}"/>
      </w:docPartPr>
      <w:docPartBody>
        <w:p>
          <w:r>
            <w:rPr>
              <w:color w:val="808080"/>
            </w:rPr>
            <w:t>单击此处输入文字。</w:t>
          </w:r>
        </w:p>
      </w:docPartBody>
    </w:docPart>
    <w:docPart>
      <w:docPartPr>
        <w:name w:val="{a48aacfe-ed43-479f-96b3-d963d4496cba}"/>
        <w:style w:val=""/>
        <w:category>
          <w:name w:val="常规"/>
          <w:gallery w:val="placeholder"/>
        </w:category>
        <w:types>
          <w:type w:val="bbPlcHdr"/>
        </w:types>
        <w:behaviors>
          <w:behavior w:val="content"/>
        </w:behaviors>
        <w:description w:val=""/>
        <w:guid w:val="{a48aacfe-ed43-479f-96b3-d963d4496cba}"/>
      </w:docPartPr>
      <w:docPartBody>
        <w:p>
          <w:r>
            <w:rPr>
              <w:color w:val="808080"/>
            </w:rPr>
            <w:t>单击此处输入文字。</w:t>
          </w:r>
        </w:p>
      </w:docPartBody>
    </w:docPart>
    <w:docPart>
      <w:docPartPr>
        <w:name w:val="{c345734d-e1ce-417f-83e5-09485e48139b}"/>
        <w:style w:val=""/>
        <w:category>
          <w:name w:val="常规"/>
          <w:gallery w:val="placeholder"/>
        </w:category>
        <w:types>
          <w:type w:val="bbPlcHdr"/>
        </w:types>
        <w:behaviors>
          <w:behavior w:val="content"/>
        </w:behaviors>
        <w:description w:val=""/>
        <w:guid w:val="{c345734d-e1ce-417f-83e5-09485e48139b}"/>
      </w:docPartPr>
      <w:docPartBody>
        <w:p>
          <w:r>
            <w:rPr>
              <w:color w:val="808080"/>
            </w:rPr>
            <w:t>单击此处输入文字。</w:t>
          </w:r>
        </w:p>
      </w:docPartBody>
    </w:docPart>
    <w:docPart>
      <w:docPartPr>
        <w:name w:val="{2faad110-6656-4466-8aa4-8c16dd3df638}"/>
        <w:style w:val=""/>
        <w:category>
          <w:name w:val="常规"/>
          <w:gallery w:val="placeholder"/>
        </w:category>
        <w:types>
          <w:type w:val="bbPlcHdr"/>
        </w:types>
        <w:behaviors>
          <w:behavior w:val="content"/>
        </w:behaviors>
        <w:description w:val=""/>
        <w:guid w:val="{2faad110-6656-4466-8aa4-8c16dd3df638}"/>
      </w:docPartPr>
      <w:docPartBody>
        <w:p>
          <w:r>
            <w:rPr>
              <w:color w:val="808080"/>
            </w:rPr>
            <w:t>单击此处输入文字。</w:t>
          </w:r>
        </w:p>
      </w:docPartBody>
    </w:docPart>
    <w:docPart>
      <w:docPartPr>
        <w:name w:val="{81e5d9e7-bee0-41c6-8cba-b181a62a3912}"/>
        <w:style w:val=""/>
        <w:category>
          <w:name w:val="常规"/>
          <w:gallery w:val="placeholder"/>
        </w:category>
        <w:types>
          <w:type w:val="bbPlcHdr"/>
        </w:types>
        <w:behaviors>
          <w:behavior w:val="content"/>
        </w:behaviors>
        <w:description w:val=""/>
        <w:guid w:val="{81e5d9e7-bee0-41c6-8cba-b181a62a3912}"/>
      </w:docPartPr>
      <w:docPartBody>
        <w:p>
          <w:r>
            <w:rPr>
              <w:color w:val="808080"/>
            </w:rPr>
            <w:t>单击此处输入文字。</w:t>
          </w:r>
        </w:p>
      </w:docPartBody>
    </w:docPart>
    <w:docPart>
      <w:docPartPr>
        <w:name w:val="{15f06498-6f9e-4577-80f1-9636beefa6bc}"/>
        <w:style w:val=""/>
        <w:category>
          <w:name w:val="常规"/>
          <w:gallery w:val="placeholder"/>
        </w:category>
        <w:types>
          <w:type w:val="bbPlcHdr"/>
        </w:types>
        <w:behaviors>
          <w:behavior w:val="content"/>
        </w:behaviors>
        <w:description w:val=""/>
        <w:guid w:val="{15f06498-6f9e-4577-80f1-9636beefa6bc}"/>
      </w:docPartPr>
      <w:docPartBody>
        <w:p>
          <w:r>
            <w:rPr>
              <w:color w:val="808080"/>
            </w:rPr>
            <w:t>单击此处输入文字。</w:t>
          </w:r>
        </w:p>
      </w:docPartBody>
    </w:docPart>
    <w:docPart>
      <w:docPartPr>
        <w:name w:val="{fa6c45be-1b41-48b7-b62d-ea5a85819001}"/>
        <w:style w:val=""/>
        <w:category>
          <w:name w:val="常规"/>
          <w:gallery w:val="placeholder"/>
        </w:category>
        <w:types>
          <w:type w:val="bbPlcHdr"/>
        </w:types>
        <w:behaviors>
          <w:behavior w:val="content"/>
        </w:behaviors>
        <w:description w:val=""/>
        <w:guid w:val="{fa6c45be-1b41-48b7-b62d-ea5a85819001}"/>
      </w:docPartPr>
      <w:docPartBody>
        <w:p>
          <w:r>
            <w:rPr>
              <w:color w:val="808080"/>
            </w:rPr>
            <w:t>单击此处输入文字。</w:t>
          </w:r>
        </w:p>
      </w:docPartBody>
    </w:docPart>
    <w:docPart>
      <w:docPartPr>
        <w:name w:val="{f8b5fce0-cced-4d6f-a918-17a0928f77e9}"/>
        <w:style w:val=""/>
        <w:category>
          <w:name w:val="常规"/>
          <w:gallery w:val="placeholder"/>
        </w:category>
        <w:types>
          <w:type w:val="bbPlcHdr"/>
        </w:types>
        <w:behaviors>
          <w:behavior w:val="content"/>
        </w:behaviors>
        <w:description w:val=""/>
        <w:guid w:val="{f8b5fce0-cced-4d6f-a918-17a0928f77e9}"/>
      </w:docPartPr>
      <w:docPartBody>
        <w:p>
          <w:r>
            <w:rPr>
              <w:color w:val="808080"/>
            </w:rPr>
            <w:t>单击此处输入文字。</w:t>
          </w:r>
        </w:p>
      </w:docPartBody>
    </w:docPart>
    <w:docPart>
      <w:docPartPr>
        <w:name w:val="{a6e762c1-4b0c-49c3-afd5-63a79718145b}"/>
        <w:style w:val=""/>
        <w:category>
          <w:name w:val="常规"/>
          <w:gallery w:val="placeholder"/>
        </w:category>
        <w:types>
          <w:type w:val="bbPlcHdr"/>
        </w:types>
        <w:behaviors>
          <w:behavior w:val="content"/>
        </w:behaviors>
        <w:description w:val=""/>
        <w:guid w:val="{a6e762c1-4b0c-49c3-afd5-63a79718145b}"/>
      </w:docPartPr>
      <w:docPartBody>
        <w:p>
          <w:r>
            <w:rPr>
              <w:color w:val="808080"/>
            </w:rPr>
            <w:t>单击此处输入文字。</w:t>
          </w:r>
        </w:p>
      </w:docPartBody>
    </w:docPart>
    <w:docPart>
      <w:docPartPr>
        <w:name w:val="{7e5e956a-194b-4cda-add1-6fafa2015135}"/>
        <w:style w:val=""/>
        <w:category>
          <w:name w:val="常规"/>
          <w:gallery w:val="placeholder"/>
        </w:category>
        <w:types>
          <w:type w:val="bbPlcHdr"/>
        </w:types>
        <w:behaviors>
          <w:behavior w:val="content"/>
        </w:behaviors>
        <w:description w:val=""/>
        <w:guid w:val="{7e5e956a-194b-4cda-add1-6fafa2015135}"/>
      </w:docPartPr>
      <w:docPartBody>
        <w:p>
          <w:r>
            <w:rPr>
              <w:color w:val="808080"/>
            </w:rPr>
            <w:t>单击此处输入文字。</w:t>
          </w:r>
        </w:p>
      </w:docPartBody>
    </w:docPart>
    <w:docPart>
      <w:docPartPr>
        <w:name w:val="{61874f07-b853-4b0d-a765-4de0a7b0adf7}"/>
        <w:style w:val=""/>
        <w:category>
          <w:name w:val="常规"/>
          <w:gallery w:val="placeholder"/>
        </w:category>
        <w:types>
          <w:type w:val="bbPlcHdr"/>
        </w:types>
        <w:behaviors>
          <w:behavior w:val="content"/>
        </w:behaviors>
        <w:description w:val=""/>
        <w:guid w:val="{61874f07-b853-4b0d-a765-4de0a7b0adf7}"/>
      </w:docPartPr>
      <w:docPartBody>
        <w:p>
          <w:r>
            <w:rPr>
              <w:color w:val="808080"/>
            </w:rPr>
            <w:t>单击此处输入文字。</w:t>
          </w:r>
        </w:p>
      </w:docPartBody>
    </w:docPart>
    <w:docPart>
      <w:docPartPr>
        <w:name w:val="{9c3a2b2c-4c71-435f-894a-487c9042f4cb}"/>
        <w:style w:val=""/>
        <w:category>
          <w:name w:val="常规"/>
          <w:gallery w:val="placeholder"/>
        </w:category>
        <w:types>
          <w:type w:val="bbPlcHdr"/>
        </w:types>
        <w:behaviors>
          <w:behavior w:val="content"/>
        </w:behaviors>
        <w:description w:val=""/>
        <w:guid w:val="{9c3a2b2c-4c71-435f-894a-487c9042f4cb}"/>
      </w:docPartPr>
      <w:docPartBody>
        <w:p>
          <w:r>
            <w:rPr>
              <w:color w:val="808080"/>
            </w:rPr>
            <w:t>单击此处输入文字。</w:t>
          </w:r>
        </w:p>
      </w:docPartBody>
    </w:docPart>
    <w:docPart>
      <w:docPartPr>
        <w:name w:val="{c4cb4cf9-8f5d-411b-aad9-57703676dfca}"/>
        <w:style w:val=""/>
        <w:category>
          <w:name w:val="常规"/>
          <w:gallery w:val="placeholder"/>
        </w:category>
        <w:types>
          <w:type w:val="bbPlcHdr"/>
        </w:types>
        <w:behaviors>
          <w:behavior w:val="content"/>
        </w:behaviors>
        <w:description w:val=""/>
        <w:guid w:val="{c4cb4cf9-8f5d-411b-aad9-57703676dfca}"/>
      </w:docPartPr>
      <w:docPartBody>
        <w:p>
          <w:r>
            <w:rPr>
              <w:color w:val="808080"/>
            </w:rPr>
            <w:t>单击此处输入文字。</w:t>
          </w:r>
        </w:p>
      </w:docPartBody>
    </w:docPart>
    <w:docPart>
      <w:docPartPr>
        <w:name w:val="{8f4c342e-507d-4628-9dbd-2ea8130424ed}"/>
        <w:style w:val=""/>
        <w:category>
          <w:name w:val="常规"/>
          <w:gallery w:val="placeholder"/>
        </w:category>
        <w:types>
          <w:type w:val="bbPlcHdr"/>
        </w:types>
        <w:behaviors>
          <w:behavior w:val="content"/>
        </w:behaviors>
        <w:description w:val=""/>
        <w:guid w:val="{8f4c342e-507d-4628-9dbd-2ea8130424ed}"/>
      </w:docPartPr>
      <w:docPartBody>
        <w:p>
          <w:r>
            <w:rPr>
              <w:color w:val="808080"/>
            </w:rPr>
            <w:t>单击此处输入文字。</w:t>
          </w:r>
        </w:p>
      </w:docPartBody>
    </w:docPart>
    <w:docPart>
      <w:docPartPr>
        <w:name w:val="{5e4131b1-7ded-4a4b-a4de-3c35634c7ef9}"/>
        <w:style w:val=""/>
        <w:category>
          <w:name w:val="常规"/>
          <w:gallery w:val="placeholder"/>
        </w:category>
        <w:types>
          <w:type w:val="bbPlcHdr"/>
        </w:types>
        <w:behaviors>
          <w:behavior w:val="content"/>
        </w:behaviors>
        <w:description w:val=""/>
        <w:guid w:val="{5e4131b1-7ded-4a4b-a4de-3c35634c7ef9}"/>
      </w:docPartPr>
      <w:docPartBody>
        <w:p>
          <w:r>
            <w:rPr>
              <w:color w:val="808080"/>
            </w:rPr>
            <w:t>单击此处输入文字。</w:t>
          </w:r>
        </w:p>
      </w:docPartBody>
    </w:docPart>
    <w:docPart>
      <w:docPartPr>
        <w:name w:val="{e955b151-3476-4fda-af5c-4470e00f07b0}"/>
        <w:style w:val=""/>
        <w:category>
          <w:name w:val="常规"/>
          <w:gallery w:val="placeholder"/>
        </w:category>
        <w:types>
          <w:type w:val="bbPlcHdr"/>
        </w:types>
        <w:behaviors>
          <w:behavior w:val="content"/>
        </w:behaviors>
        <w:description w:val=""/>
        <w:guid w:val="{e955b151-3476-4fda-af5c-4470e00f07b0}"/>
      </w:docPartPr>
      <w:docPartBody>
        <w:p>
          <w:r>
            <w:rPr>
              <w:color w:val="808080"/>
            </w:rPr>
            <w:t>单击此处输入文字。</w:t>
          </w:r>
        </w:p>
      </w:docPartBody>
    </w:docPart>
    <w:docPart>
      <w:docPartPr>
        <w:name w:val="{a3ad0d62-5427-4879-a909-a30667f356b9}"/>
        <w:style w:val=""/>
        <w:category>
          <w:name w:val="常规"/>
          <w:gallery w:val="placeholder"/>
        </w:category>
        <w:types>
          <w:type w:val="bbPlcHdr"/>
        </w:types>
        <w:behaviors>
          <w:behavior w:val="content"/>
        </w:behaviors>
        <w:description w:val=""/>
        <w:guid w:val="{a3ad0d62-5427-4879-a909-a30667f356b9}"/>
      </w:docPartPr>
      <w:docPartBody>
        <w:p>
          <w:r>
            <w:rPr>
              <w:color w:val="808080"/>
            </w:rPr>
            <w:t>单击此处输入文字。</w:t>
          </w:r>
        </w:p>
      </w:docPartBody>
    </w:docPart>
    <w:docPart>
      <w:docPartPr>
        <w:name w:val="{c1ecf2f9-8a2c-4ea1-85ac-28cda2c9ec97}"/>
        <w:style w:val=""/>
        <w:category>
          <w:name w:val="常规"/>
          <w:gallery w:val="placeholder"/>
        </w:category>
        <w:types>
          <w:type w:val="bbPlcHdr"/>
        </w:types>
        <w:behaviors>
          <w:behavior w:val="content"/>
        </w:behaviors>
        <w:description w:val=""/>
        <w:guid w:val="{c1ecf2f9-8a2c-4ea1-85ac-28cda2c9ec97}"/>
      </w:docPartPr>
      <w:docPartBody>
        <w:p>
          <w:r>
            <w:rPr>
              <w:color w:val="808080"/>
            </w:rPr>
            <w:t>单击此处输入文字。</w:t>
          </w:r>
        </w:p>
      </w:docPartBody>
    </w:docPart>
    <w:docPart>
      <w:docPartPr>
        <w:name w:val="{5634981f-5e59-495d-900e-0a404d1fb60c}"/>
        <w:style w:val=""/>
        <w:category>
          <w:name w:val="常规"/>
          <w:gallery w:val="placeholder"/>
        </w:category>
        <w:types>
          <w:type w:val="bbPlcHdr"/>
        </w:types>
        <w:behaviors>
          <w:behavior w:val="content"/>
        </w:behaviors>
        <w:description w:val=""/>
        <w:guid w:val="{5634981f-5e59-495d-900e-0a404d1fb60c}"/>
      </w:docPartPr>
      <w:docPartBody>
        <w:p>
          <w:r>
            <w:rPr>
              <w:color w:val="808080"/>
            </w:rPr>
            <w:t>单击此处输入文字。</w:t>
          </w:r>
        </w:p>
      </w:docPartBody>
    </w:docPart>
    <w:docPart>
      <w:docPartPr>
        <w:name w:val="{04936ea5-c2ef-443d-b14e-32b3c8f4eae4}"/>
        <w:style w:val=""/>
        <w:category>
          <w:name w:val="常规"/>
          <w:gallery w:val="placeholder"/>
        </w:category>
        <w:types>
          <w:type w:val="bbPlcHdr"/>
        </w:types>
        <w:behaviors>
          <w:behavior w:val="content"/>
        </w:behaviors>
        <w:description w:val=""/>
        <w:guid w:val="{04936ea5-c2ef-443d-b14e-32b3c8f4eae4}"/>
      </w:docPartPr>
      <w:docPartBody>
        <w:p>
          <w:r>
            <w:rPr>
              <w:color w:val="808080"/>
            </w:rPr>
            <w:t>单击此处输入文字。</w:t>
          </w:r>
        </w:p>
      </w:docPartBody>
    </w:docPart>
    <w:docPart>
      <w:docPartPr>
        <w:name w:val="{9378617f-33d2-4a9e-b447-c2d101697e32}"/>
        <w:style w:val=""/>
        <w:category>
          <w:name w:val="常规"/>
          <w:gallery w:val="placeholder"/>
        </w:category>
        <w:types>
          <w:type w:val="bbPlcHdr"/>
        </w:types>
        <w:behaviors>
          <w:behavior w:val="content"/>
        </w:behaviors>
        <w:description w:val=""/>
        <w:guid w:val="{9378617f-33d2-4a9e-b447-c2d101697e32}"/>
      </w:docPartPr>
      <w:docPartBody>
        <w:p>
          <w:r>
            <w:rPr>
              <w:color w:val="808080"/>
            </w:rPr>
            <w:t>单击此处输入文字。</w:t>
          </w:r>
        </w:p>
      </w:docPartBody>
    </w:docPart>
    <w:docPart>
      <w:docPartPr>
        <w:name w:val="{4dd62f95-36e9-4bc4-8d45-4ab37d70ae1c}"/>
        <w:style w:val=""/>
        <w:category>
          <w:name w:val="常规"/>
          <w:gallery w:val="placeholder"/>
        </w:category>
        <w:types>
          <w:type w:val="bbPlcHdr"/>
        </w:types>
        <w:behaviors>
          <w:behavior w:val="content"/>
        </w:behaviors>
        <w:description w:val=""/>
        <w:guid w:val="{4dd62f95-36e9-4bc4-8d45-4ab37d70ae1c}"/>
      </w:docPartPr>
      <w:docPartBody>
        <w:p>
          <w:r>
            <w:rPr>
              <w:color w:val="808080"/>
            </w:rPr>
            <w:t>单击此处输入文字。</w:t>
          </w:r>
        </w:p>
      </w:docPartBody>
    </w:docPart>
    <w:docPart>
      <w:docPartPr>
        <w:name w:val="{a6cab34c-232c-48cd-a56c-a15107e0cd6b}"/>
        <w:style w:val=""/>
        <w:category>
          <w:name w:val="常规"/>
          <w:gallery w:val="placeholder"/>
        </w:category>
        <w:types>
          <w:type w:val="bbPlcHdr"/>
        </w:types>
        <w:behaviors>
          <w:behavior w:val="content"/>
        </w:behaviors>
        <w:description w:val=""/>
        <w:guid w:val="{a6cab34c-232c-48cd-a56c-a15107e0cd6b}"/>
      </w:docPartPr>
      <w:docPartBody>
        <w:p>
          <w:r>
            <w:rPr>
              <w:color w:val="808080"/>
            </w:rPr>
            <w:t>单击此处输入文字。</w:t>
          </w:r>
        </w:p>
      </w:docPartBody>
    </w:docPart>
    <w:docPart>
      <w:docPartPr>
        <w:name w:val="{1d07879a-a1f0-4583-86ce-e06f1818d4b5}"/>
        <w:style w:val=""/>
        <w:category>
          <w:name w:val="常规"/>
          <w:gallery w:val="placeholder"/>
        </w:category>
        <w:types>
          <w:type w:val="bbPlcHdr"/>
        </w:types>
        <w:behaviors>
          <w:behavior w:val="content"/>
        </w:behaviors>
        <w:description w:val=""/>
        <w:guid w:val="{1d07879a-a1f0-4583-86ce-e06f1818d4b5}"/>
      </w:docPartPr>
      <w:docPartBody>
        <w:p>
          <w:r>
            <w:rPr>
              <w:color w:val="808080"/>
            </w:rPr>
            <w:t>单击此处输入文字。</w:t>
          </w:r>
        </w:p>
      </w:docPartBody>
    </w:docPart>
    <w:docPart>
      <w:docPartPr>
        <w:name w:val="{35c7225b-5310-4290-a14a-12a836cd1077}"/>
        <w:style w:val=""/>
        <w:category>
          <w:name w:val="常规"/>
          <w:gallery w:val="placeholder"/>
        </w:category>
        <w:types>
          <w:type w:val="bbPlcHdr"/>
        </w:types>
        <w:behaviors>
          <w:behavior w:val="content"/>
        </w:behaviors>
        <w:description w:val=""/>
        <w:guid w:val="{35c7225b-5310-4290-a14a-12a836cd1077}"/>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47</Pages>
  <Words>20666</Words>
  <Characters>20968</Characters>
  <Lines>160</Lines>
  <Paragraphs>45</Paragraphs>
  <TotalTime>23</TotalTime>
  <ScaleCrop>false</ScaleCrop>
  <LinksUpToDate>false</LinksUpToDate>
  <CharactersWithSpaces>21152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2021-07-23T22:14:00Z</dcterms:created>
  <dc:creator>wrx</dc:creator>
  <cp:lastModifiedBy>李琴</cp:lastModifiedBy>
  <cp:lastPrinted>2022-03-04T18:45:00Z</cp:lastPrinted>
  <dcterms:modified xsi:type="dcterms:W3CDTF">2023-06-12T08:35:06Z</dcterms:modified>
  <cp:revision>447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E48439AA2C334A46A456BD5C8CD2CE0E</vt:lpwstr>
  </property>
</Properties>
</file>