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sz w:val="28"/>
          <w:szCs w:val="28"/>
        </w:rPr>
      </w:pPr>
    </w:p>
    <w:p>
      <w:pPr>
        <w:spacing w:line="360" w:lineRule="auto"/>
        <w:jc w:val="center"/>
        <w:rPr>
          <w:rFonts w:ascii="仿宋" w:hAnsi="仿宋" w:eastAsia="仿宋"/>
          <w:b/>
          <w:bCs/>
          <w:sz w:val="28"/>
          <w:szCs w:val="28"/>
        </w:rPr>
      </w:pPr>
    </w:p>
    <w:p>
      <w:pPr>
        <w:spacing w:line="360" w:lineRule="auto"/>
        <w:jc w:val="center"/>
        <w:rPr>
          <w:rFonts w:ascii="仿宋" w:hAnsi="仿宋" w:eastAsia="仿宋"/>
          <w:b/>
          <w:bCs/>
          <w:sz w:val="28"/>
          <w:szCs w:val="28"/>
        </w:rPr>
      </w:pPr>
    </w:p>
    <w:p>
      <w:pPr>
        <w:spacing w:line="360" w:lineRule="auto"/>
        <w:jc w:val="center"/>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ESI黑体-GB2312" w:hAnsi="CESI黑体-GB2312" w:eastAsia="CESI黑体-GB2312" w:cs="CESI黑体-GB2312"/>
          <w:sz w:val="44"/>
          <w:szCs w:val="44"/>
        </w:rPr>
      </w:pPr>
      <w:r>
        <w:rPr>
          <w:rFonts w:hint="eastAsia" w:ascii="CESI黑体-GB2312" w:hAnsi="CESI黑体-GB2312" w:eastAsia="CESI黑体-GB2312" w:cs="CESI黑体-GB2312"/>
          <w:sz w:val="44"/>
          <w:szCs w:val="44"/>
        </w:rPr>
        <w:t>聊城市“十四五”金融业发展规划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ESI黑体-GB2312" w:hAnsi="CESI黑体-GB2312" w:eastAsia="CESI黑体-GB2312" w:cs="CESI黑体-GB2312"/>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聊城市地方金融监督管理局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202</w:t>
      </w:r>
      <w:r>
        <w:rPr>
          <w:rFonts w:hint="eastAsia" w:ascii="CESI楷体-GB2312" w:hAnsi="CESI楷体-GB2312" w:eastAsia="CESI楷体-GB2312" w:cs="CESI楷体-GB2312"/>
          <w:sz w:val="32"/>
          <w:szCs w:val="32"/>
          <w:lang w:val="en-US" w:eastAsia="zh-CN"/>
        </w:rPr>
        <w:t>2</w:t>
      </w:r>
      <w:r>
        <w:rPr>
          <w:rFonts w:hint="eastAsia" w:ascii="CESI楷体-GB2312" w:hAnsi="CESI楷体-GB2312" w:eastAsia="CESI楷体-GB2312" w:cs="CESI楷体-GB2312"/>
          <w:sz w:val="32"/>
          <w:szCs w:val="32"/>
        </w:rPr>
        <w:t>年</w:t>
      </w:r>
      <w:r>
        <w:rPr>
          <w:rFonts w:hint="eastAsia" w:ascii="CESI楷体-GB2312" w:hAnsi="CESI楷体-GB2312" w:eastAsia="CESI楷体-GB2312" w:cs="CESI楷体-GB2312"/>
          <w:sz w:val="32"/>
          <w:szCs w:val="32"/>
          <w:lang w:val="en-US" w:eastAsia="zh-CN"/>
        </w:rPr>
        <w:t>2</w:t>
      </w:r>
      <w:r>
        <w:rPr>
          <w:rFonts w:hint="eastAsia" w:ascii="CESI楷体-GB2312" w:hAnsi="CESI楷体-GB2312" w:eastAsia="CESI楷体-GB2312" w:cs="CESI楷体-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sectPr>
          <w:headerReference r:id="rId4" w:type="first"/>
          <w:footerReference r:id="rId7" w:type="first"/>
          <w:footerReference r:id="rId5" w:type="default"/>
          <w:headerReference r:id="rId3" w:type="even"/>
          <w:footerReference r:id="rId6" w:type="even"/>
          <w:pgSz w:w="11900" w:h="16840"/>
          <w:pgMar w:top="1440" w:right="1800" w:bottom="1440" w:left="1800" w:header="851" w:footer="992" w:gutter="0"/>
          <w:pgNumType w:start="1"/>
          <w:cols w:space="425" w:num="1"/>
          <w:docGrid w:type="lines" w:linePitch="312" w:charSpace="0"/>
        </w:sectPr>
      </w:pPr>
    </w:p>
    <w:sdt>
      <w:sdtPr>
        <w:rPr>
          <w:rFonts w:ascii="宋体" w:hAnsi="宋体" w:eastAsia="宋体" w:cstheme="minorBidi"/>
          <w:kern w:val="2"/>
          <w:sz w:val="21"/>
          <w:szCs w:val="24"/>
          <w:lang w:val="en-US" w:eastAsia="zh-CN" w:bidi="ar-SA"/>
        </w:rPr>
        <w:id w:val="351071153"/>
        <w:docPartObj>
          <w:docPartGallery w:val="Table of Contents"/>
          <w:docPartUnique/>
        </w:docPartObj>
      </w:sdtPr>
      <w:sdtEndPr>
        <w:rPr>
          <w:rFonts w:ascii="Times New Roman" w:hAnsi="Times New Roman" w:eastAsia="宋体" w:cs="Times New Roman"/>
          <w:b w:val="0"/>
          <w:bCs w:val="0"/>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CESI黑体-GB2312"/>
              <w:b/>
              <w:bCs/>
              <w:kern w:val="0"/>
              <w:sz w:val="28"/>
              <w:szCs w:val="28"/>
            </w:rPr>
          </w:pPr>
          <w:bookmarkStart w:id="0" w:name="_Toc349845763_WPSOffice_Type2"/>
          <w:r>
            <w:rPr>
              <w:rFonts w:hint="eastAsia" w:ascii="黑体" w:hAnsi="黑体" w:eastAsia="黑体" w:cs="CESI黑体-GB2312"/>
              <w:b/>
              <w:bCs/>
              <w:kern w:val="0"/>
              <w:sz w:val="28"/>
              <w:szCs w:val="28"/>
            </w:rPr>
            <w:t>目录</w:t>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_Toc849758390_WPSOffice_Level1 </w:instrText>
          </w:r>
          <w:r>
            <w:rPr>
              <w:b w:val="0"/>
              <w:bCs w:val="0"/>
              <w:sz w:val="28"/>
              <w:szCs w:val="28"/>
            </w:rPr>
            <w:fldChar w:fldCharType="separate"/>
          </w:r>
          <w:sdt>
            <w:sdtPr>
              <w:rPr>
                <w:rFonts w:eastAsia="SimSun-ExtB" w:asciiTheme="minorHAnsi" w:hAnsiTheme="minorHAnsi" w:cstheme="minorBidi"/>
                <w:b w:val="0"/>
                <w:bCs w:val="0"/>
                <w:kern w:val="44"/>
                <w:sz w:val="28"/>
                <w:szCs w:val="28"/>
                <w:lang w:val="en-US" w:eastAsia="zh-CN" w:bidi="ar-SA"/>
              </w:rPr>
              <w:id w:val="351071153"/>
              <w:placeholder>
                <w:docPart w:val="{5245fdea-09f2-4e1a-b41c-282b93347a15}"/>
              </w:placeholder>
            </w:sdtPr>
            <w:sdtEndPr>
              <w:rPr>
                <w:rFonts w:hint="eastAsia" w:ascii="黑体" w:hAnsi="黑体" w:eastAsia="黑体" w:cs="CESI黑体-GB2312"/>
                <w:b w:val="0"/>
                <w:bCs w:val="0"/>
                <w:kern w:val="44"/>
                <w:sz w:val="28"/>
                <w:szCs w:val="28"/>
                <w:lang w:val="en-US" w:eastAsia="zh-CN" w:bidi="ar-SA"/>
              </w:rPr>
            </w:sdtEndPr>
            <w:sdtContent>
              <w:r>
                <w:rPr>
                  <w:rFonts w:hint="eastAsia" w:ascii="黑体" w:hAnsi="黑体" w:eastAsia="黑体" w:cs="CESI黑体-GB2312"/>
                  <w:b w:val="0"/>
                  <w:bCs w:val="0"/>
                  <w:sz w:val="28"/>
                  <w:szCs w:val="28"/>
                </w:rPr>
                <w:t>第一部分 聊城市金融业发展基础和环境</w:t>
              </w:r>
            </w:sdtContent>
          </w:sdt>
          <w:r>
            <w:rPr>
              <w:b w:val="0"/>
              <w:bCs w:val="0"/>
              <w:sz w:val="28"/>
              <w:szCs w:val="28"/>
            </w:rPr>
            <w:tab/>
          </w:r>
          <w:bookmarkStart w:id="1" w:name="_Toc849758390_WPSOffice_Level1Page"/>
          <w:r>
            <w:rPr>
              <w:b w:val="0"/>
              <w:bCs w:val="0"/>
              <w:sz w:val="28"/>
              <w:szCs w:val="28"/>
            </w:rPr>
            <w:t>1</w:t>
          </w:r>
          <w:bookmarkEnd w:id="1"/>
          <w:r>
            <w:rPr>
              <w:b w:val="0"/>
              <w:bCs w:val="0"/>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_Toc349845763_WPSOffice_Level2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addca61e-5c57-479e-9a23-2c2f1f7fb867}"/>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“十三五”时期金融业发展回顾</w:t>
              </w:r>
            </w:sdtContent>
          </w:sdt>
          <w:r>
            <w:rPr>
              <w:rFonts w:hint="eastAsia" w:ascii="CESI仿宋-GB2312" w:hAnsi="CESI仿宋-GB2312" w:eastAsia="CESI仿宋-GB2312" w:cs="CESI仿宋-GB2312"/>
              <w:sz w:val="28"/>
              <w:szCs w:val="28"/>
            </w:rPr>
            <w:tab/>
          </w:r>
          <w:bookmarkStart w:id="2" w:name="_Toc349845763_WPSOffice_Level2Page"/>
          <w:r>
            <w:rPr>
              <w:rFonts w:hint="eastAsia" w:ascii="CESI仿宋-GB2312" w:hAnsi="CESI仿宋-GB2312" w:eastAsia="CESI仿宋-GB2312" w:cs="CESI仿宋-GB2312"/>
              <w:sz w:val="28"/>
              <w:szCs w:val="28"/>
            </w:rPr>
            <w:t>1</w:t>
          </w:r>
          <w:bookmarkEnd w:id="2"/>
          <w:r>
            <w:rPr>
              <w:rFonts w:hint="eastAsia" w:ascii="CESI仿宋-GB2312" w:hAnsi="CESI仿宋-GB2312" w:eastAsia="CESI仿宋-GB2312" w:cs="CESI仿宋-GB2312"/>
              <w:sz w:val="28"/>
              <w:szCs w:val="28"/>
            </w:rPr>
            <w:fldChar w:fldCharType="end"/>
          </w:r>
        </w:p>
        <w:p>
          <w:pPr>
            <w:pStyle w:val="40"/>
            <w:tabs>
              <w:tab w:val="right" w:leader="dot" w:pos="8300"/>
            </w:tabs>
            <w:rPr>
              <w:b w:val="0"/>
              <w:bCs w:val="0"/>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_Toc1985298521_WPSOffice_Level2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467d08bb-86c3-42ff-9d96-fddb6fc4fc08}"/>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“十四五”时期面临的形势</w:t>
              </w:r>
            </w:sdtContent>
          </w:sdt>
          <w:r>
            <w:rPr>
              <w:rFonts w:hint="eastAsia" w:ascii="CESI仿宋-GB2312" w:hAnsi="CESI仿宋-GB2312" w:eastAsia="CESI仿宋-GB2312" w:cs="CESI仿宋-GB2312"/>
              <w:sz w:val="28"/>
              <w:szCs w:val="28"/>
            </w:rPr>
            <w:tab/>
          </w:r>
          <w:bookmarkStart w:id="3" w:name="_Toc1985298521_WPSOffice_Level2Page"/>
          <w:r>
            <w:rPr>
              <w:rFonts w:hint="eastAsia" w:ascii="CESI仿宋-GB2312" w:hAnsi="CESI仿宋-GB2312" w:eastAsia="CESI仿宋-GB2312" w:cs="CESI仿宋-GB2312"/>
              <w:sz w:val="28"/>
              <w:szCs w:val="28"/>
            </w:rPr>
            <w:t>5</w:t>
          </w:r>
          <w:bookmarkEnd w:id="3"/>
          <w:r>
            <w:rPr>
              <w:rFonts w:hint="eastAsia" w:ascii="CESI仿宋-GB2312" w:hAnsi="CESI仿宋-GB2312" w:eastAsia="CESI仿宋-GB2312" w:cs="CESI仿宋-GB2312"/>
              <w:sz w:val="28"/>
              <w:szCs w:val="28"/>
            </w:rPr>
            <w:fldChar w:fldCharType="end"/>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_Toc349845763_WPSOffice_Level1 </w:instrText>
          </w:r>
          <w:r>
            <w:rPr>
              <w:b w:val="0"/>
              <w:bCs w:val="0"/>
              <w:sz w:val="28"/>
              <w:szCs w:val="28"/>
            </w:rPr>
            <w:fldChar w:fldCharType="separate"/>
          </w:r>
          <w:sdt>
            <w:sdtPr>
              <w:rPr>
                <w:rFonts w:eastAsia="SimSun-ExtB" w:asciiTheme="minorHAnsi" w:hAnsiTheme="minorHAnsi" w:cstheme="minorBidi"/>
                <w:b w:val="0"/>
                <w:bCs w:val="0"/>
                <w:kern w:val="44"/>
                <w:sz w:val="28"/>
                <w:szCs w:val="28"/>
                <w:lang w:val="en-US" w:eastAsia="zh-CN" w:bidi="ar-SA"/>
              </w:rPr>
              <w:id w:val="351071153"/>
              <w:placeholder>
                <w:docPart w:val="{66b7e53f-60fa-4be0-8b77-41c6c45d21da}"/>
              </w:placeholder>
            </w:sdtPr>
            <w:sdtEndPr>
              <w:rPr>
                <w:rFonts w:hint="eastAsia" w:ascii="黑体" w:hAnsi="黑体" w:eastAsia="黑体" w:cs="CESI黑体-GB2312"/>
                <w:b w:val="0"/>
                <w:bCs w:val="0"/>
                <w:kern w:val="44"/>
                <w:sz w:val="28"/>
                <w:szCs w:val="28"/>
                <w:lang w:val="en-US" w:eastAsia="zh-CN" w:bidi="ar-SA"/>
              </w:rPr>
            </w:sdtEndPr>
            <w:sdtContent>
              <w:r>
                <w:rPr>
                  <w:rFonts w:hint="eastAsia" w:ascii="黑体" w:hAnsi="黑体" w:eastAsia="黑体" w:cs="CESI黑体-GB2312"/>
                  <w:b w:val="0"/>
                  <w:bCs w:val="0"/>
                  <w:sz w:val="28"/>
                  <w:szCs w:val="28"/>
                </w:rPr>
                <w:t>第二部分  “十四五”时期金融业发展指导思想、工作原则和总体目标</w:t>
              </w:r>
            </w:sdtContent>
          </w:sdt>
          <w:r>
            <w:rPr>
              <w:b w:val="0"/>
              <w:bCs w:val="0"/>
              <w:sz w:val="28"/>
              <w:szCs w:val="28"/>
            </w:rPr>
            <w:tab/>
          </w:r>
          <w:bookmarkStart w:id="4" w:name="_Toc349845763_WPSOffice_Level1Page"/>
          <w:r>
            <w:rPr>
              <w:b w:val="0"/>
              <w:bCs w:val="0"/>
              <w:sz w:val="28"/>
              <w:szCs w:val="28"/>
            </w:rPr>
            <w:t>10</w:t>
          </w:r>
          <w:bookmarkEnd w:id="4"/>
          <w:r>
            <w:rPr>
              <w:b w:val="0"/>
              <w:bCs w:val="0"/>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_Toc885333632_WPSOffice_Level2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2b7f1481-8460-4b40-afb7-c690eb7a07fc}"/>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指导思想</w:t>
              </w:r>
            </w:sdtContent>
          </w:sdt>
          <w:r>
            <w:rPr>
              <w:rFonts w:hint="eastAsia" w:ascii="CESI仿宋-GB2312" w:hAnsi="CESI仿宋-GB2312" w:eastAsia="CESI仿宋-GB2312" w:cs="CESI仿宋-GB2312"/>
              <w:sz w:val="28"/>
              <w:szCs w:val="28"/>
            </w:rPr>
            <w:tab/>
          </w:r>
          <w:bookmarkStart w:id="5" w:name="_Toc885333632_WPSOffice_Level2Page"/>
          <w:r>
            <w:rPr>
              <w:rFonts w:hint="eastAsia" w:ascii="CESI仿宋-GB2312" w:hAnsi="CESI仿宋-GB2312" w:eastAsia="CESI仿宋-GB2312" w:cs="CESI仿宋-GB2312"/>
              <w:sz w:val="28"/>
              <w:szCs w:val="28"/>
            </w:rPr>
            <w:t>10</w:t>
          </w:r>
          <w:bookmarkEnd w:id="5"/>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_Toc2017530698_WPSOffice_Level2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a48aacfe-ed43-479f-96b3-d963d4496cba}"/>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工作原则</w:t>
              </w:r>
            </w:sdtContent>
          </w:sdt>
          <w:r>
            <w:rPr>
              <w:rFonts w:hint="eastAsia" w:ascii="CESI仿宋-GB2312" w:hAnsi="CESI仿宋-GB2312" w:eastAsia="CESI仿宋-GB2312" w:cs="CESI仿宋-GB2312"/>
              <w:sz w:val="28"/>
              <w:szCs w:val="28"/>
            </w:rPr>
            <w:tab/>
          </w:r>
          <w:bookmarkStart w:id="6" w:name="_Toc2017530698_WPSOffice_Level2Page"/>
          <w:r>
            <w:rPr>
              <w:rFonts w:hint="eastAsia" w:ascii="CESI仿宋-GB2312" w:hAnsi="CESI仿宋-GB2312" w:eastAsia="CESI仿宋-GB2312" w:cs="CESI仿宋-GB2312"/>
              <w:sz w:val="28"/>
              <w:szCs w:val="28"/>
            </w:rPr>
            <w:t>10</w:t>
          </w:r>
          <w:bookmarkEnd w:id="6"/>
          <w:r>
            <w:rPr>
              <w:rFonts w:hint="eastAsia" w:ascii="CESI仿宋-GB2312" w:hAnsi="CESI仿宋-GB2312" w:eastAsia="CESI仿宋-GB2312" w:cs="CESI仿宋-GB2312"/>
              <w:sz w:val="28"/>
              <w:szCs w:val="28"/>
            </w:rPr>
            <w:fldChar w:fldCharType="end"/>
          </w:r>
        </w:p>
        <w:p>
          <w:pPr>
            <w:pStyle w:val="40"/>
            <w:tabs>
              <w:tab w:val="right" w:leader="dot" w:pos="8300"/>
            </w:tabs>
            <w:rPr>
              <w:b w:val="0"/>
              <w:bCs w:val="0"/>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_Toc1719679573_WPSOffice_Level2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c345734d-e1ce-417f-83e5-09485e48139b}"/>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第三节 总体目标</w:t>
              </w:r>
            </w:sdtContent>
          </w:sdt>
          <w:r>
            <w:rPr>
              <w:rFonts w:hint="eastAsia" w:ascii="CESI仿宋-GB2312" w:hAnsi="CESI仿宋-GB2312" w:eastAsia="CESI仿宋-GB2312" w:cs="CESI仿宋-GB2312"/>
              <w:sz w:val="28"/>
              <w:szCs w:val="28"/>
            </w:rPr>
            <w:tab/>
          </w:r>
          <w:bookmarkStart w:id="7" w:name="_Toc1719679573_WPSOffice_Level2Page"/>
          <w:r>
            <w:rPr>
              <w:rFonts w:hint="eastAsia" w:ascii="CESI仿宋-GB2312" w:hAnsi="CESI仿宋-GB2312" w:eastAsia="CESI仿宋-GB2312" w:cs="CESI仿宋-GB2312"/>
              <w:sz w:val="28"/>
              <w:szCs w:val="28"/>
            </w:rPr>
            <w:t>12</w:t>
          </w:r>
          <w:bookmarkEnd w:id="7"/>
          <w:r>
            <w:rPr>
              <w:rFonts w:hint="eastAsia" w:ascii="CESI仿宋-GB2312" w:hAnsi="CESI仿宋-GB2312" w:eastAsia="CESI仿宋-GB2312" w:cs="CESI仿宋-GB2312"/>
              <w:sz w:val="28"/>
              <w:szCs w:val="28"/>
            </w:rPr>
            <w:fldChar w:fldCharType="end"/>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_Toc1985298521_WPSOffice_Level1 </w:instrText>
          </w:r>
          <w:r>
            <w:rPr>
              <w:b w:val="0"/>
              <w:bCs w:val="0"/>
              <w:sz w:val="28"/>
              <w:szCs w:val="28"/>
            </w:rPr>
            <w:fldChar w:fldCharType="separate"/>
          </w:r>
          <w:sdt>
            <w:sdtPr>
              <w:rPr>
                <w:rFonts w:hint="eastAsia" w:ascii="黑体" w:hAnsi="黑体" w:eastAsia="黑体" w:cs="CESI黑体-GB2312"/>
                <w:b w:val="0"/>
                <w:bCs w:val="0"/>
                <w:sz w:val="28"/>
                <w:szCs w:val="28"/>
                <w:lang w:val="en-US" w:eastAsia="zh-CN"/>
              </w:rPr>
              <w:id w:val="351071153"/>
              <w:placeholder>
                <w:docPart w:val="{2faad110-6656-4466-8aa4-8c16dd3df638}"/>
              </w:placeholder>
            </w:sdtPr>
            <w:sdtEndPr>
              <w:rPr>
                <w:rFonts w:hint="eastAsia" w:ascii="黑体" w:hAnsi="黑体" w:eastAsia="黑体" w:cs="CESI黑体-GB2312"/>
                <w:b w:val="0"/>
                <w:bCs w:val="0"/>
                <w:sz w:val="28"/>
                <w:szCs w:val="28"/>
                <w:lang w:val="en-US" w:eastAsia="zh-CN"/>
              </w:rPr>
            </w:sdtEndPr>
            <w:sdtContent>
              <w:r>
                <w:rPr>
                  <w:rFonts w:hint="eastAsia" w:ascii="黑体" w:hAnsi="黑体" w:eastAsia="黑体" w:cs="CESI黑体-GB2312"/>
                  <w:b w:val="0"/>
                  <w:bCs w:val="0"/>
                  <w:sz w:val="28"/>
                  <w:szCs w:val="28"/>
                </w:rPr>
                <w:t xml:space="preserve">第三部分 </w:t>
              </w:r>
              <w:r>
                <w:rPr>
                  <w:rFonts w:hint="default" w:ascii="仿宋" w:hAnsi="仿宋" w:eastAsia="仿宋" w:cs="Times New Roman"/>
                  <w:b w:val="0"/>
                  <w:bCs w:val="0"/>
                  <w:sz w:val="28"/>
                  <w:szCs w:val="28"/>
                </w:rPr>
                <w:t xml:space="preserve"> </w:t>
              </w:r>
              <w:r>
                <w:rPr>
                  <w:rFonts w:hint="eastAsia" w:ascii="CESI黑体-GB2312" w:hAnsi="CESI黑体-GB2312" w:eastAsia="CESI黑体-GB2312" w:cs="CESI黑体-GB2312"/>
                  <w:b w:val="0"/>
                  <w:bCs w:val="0"/>
                  <w:sz w:val="28"/>
                  <w:szCs w:val="28"/>
                  <w:lang w:eastAsia="zh-CN"/>
                </w:rPr>
                <w:t>聚焦金融产业高质量发展</w:t>
              </w:r>
              <w:r>
                <w:rPr>
                  <w:rFonts w:hint="eastAsia" w:ascii="CESI黑体-GB2312" w:hAnsi="CESI黑体-GB2312" w:eastAsia="CESI黑体-GB2312" w:cs="CESI黑体-GB2312"/>
                  <w:b w:val="0"/>
                  <w:bCs w:val="0"/>
                  <w:sz w:val="28"/>
                  <w:szCs w:val="28"/>
                  <w:lang w:val="en-US" w:eastAsia="zh-CN"/>
                </w:rPr>
                <w:t xml:space="preserve"> </w:t>
              </w:r>
              <w:r>
                <w:rPr>
                  <w:rFonts w:hint="eastAsia" w:ascii="CESI黑体-GB2312" w:hAnsi="CESI黑体-GB2312" w:eastAsia="CESI黑体-GB2312" w:cs="CESI黑体-GB2312"/>
                  <w:b w:val="0"/>
                  <w:bCs w:val="0"/>
                  <w:sz w:val="28"/>
                  <w:szCs w:val="28"/>
                  <w:lang w:eastAsia="zh-CN"/>
                </w:rPr>
                <w:t>实施金融塑强工程</w:t>
              </w:r>
            </w:sdtContent>
          </w:sdt>
          <w:r>
            <w:rPr>
              <w:b w:val="0"/>
              <w:bCs w:val="0"/>
              <w:sz w:val="28"/>
              <w:szCs w:val="28"/>
            </w:rPr>
            <w:tab/>
          </w:r>
          <w:bookmarkStart w:id="8" w:name="_Toc1985298521_WPSOffice_Level1Page"/>
          <w:r>
            <w:rPr>
              <w:b w:val="0"/>
              <w:bCs w:val="0"/>
              <w:sz w:val="28"/>
              <w:szCs w:val="28"/>
            </w:rPr>
            <w:t>14</w:t>
          </w:r>
          <w:bookmarkEnd w:id="8"/>
          <w:r>
            <w:rPr>
              <w:b w:val="0"/>
              <w:bCs w:val="0"/>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_Toc1091508523_WPSOffice_Level2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81e5d9e7-bee0-41c6-8cba-b181a62a3912}"/>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塑强地方金融组织体系</w:t>
              </w:r>
            </w:sdtContent>
          </w:sdt>
          <w:r>
            <w:rPr>
              <w:rFonts w:hint="eastAsia" w:ascii="CESI仿宋-GB2312" w:hAnsi="CESI仿宋-GB2312" w:eastAsia="CESI仿宋-GB2312" w:cs="CESI仿宋-GB2312"/>
              <w:sz w:val="28"/>
              <w:szCs w:val="28"/>
            </w:rPr>
            <w:tab/>
          </w:r>
          <w:bookmarkStart w:id="9" w:name="_Toc1091508523_WPSOffice_Level2Page"/>
          <w:r>
            <w:rPr>
              <w:rFonts w:hint="eastAsia" w:ascii="CESI仿宋-GB2312" w:hAnsi="CESI仿宋-GB2312" w:eastAsia="CESI仿宋-GB2312" w:cs="CESI仿宋-GB2312"/>
              <w:sz w:val="28"/>
              <w:szCs w:val="28"/>
            </w:rPr>
            <w:t>14</w:t>
          </w:r>
          <w:bookmarkEnd w:id="9"/>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_Toc1367311564_WPSOffice_Level2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15f06498-6f9e-4577-80f1-9636beefa6bc}"/>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塑强金融产业数字化能力</w:t>
              </w:r>
            </w:sdtContent>
          </w:sdt>
          <w:r>
            <w:rPr>
              <w:rFonts w:hint="eastAsia" w:ascii="CESI仿宋-GB2312" w:hAnsi="CESI仿宋-GB2312" w:eastAsia="CESI仿宋-GB2312" w:cs="CESI仿宋-GB2312"/>
              <w:sz w:val="28"/>
              <w:szCs w:val="28"/>
            </w:rPr>
            <w:tab/>
          </w:r>
          <w:bookmarkStart w:id="10" w:name="_Toc1367311564_WPSOffice_Level2Page"/>
          <w:r>
            <w:rPr>
              <w:rFonts w:hint="eastAsia" w:ascii="CESI仿宋-GB2312" w:hAnsi="CESI仿宋-GB2312" w:eastAsia="CESI仿宋-GB2312" w:cs="CESI仿宋-GB2312"/>
              <w:sz w:val="28"/>
              <w:szCs w:val="28"/>
            </w:rPr>
            <w:t>16</w:t>
          </w:r>
          <w:bookmarkEnd w:id="10"/>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_Toc1312561593_WPSOffice_Level2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fa6c45be-1b41-48b7-b62d-ea5a85819001}"/>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第三节 塑强直接融资功能</w:t>
              </w:r>
            </w:sdtContent>
          </w:sdt>
          <w:r>
            <w:rPr>
              <w:rFonts w:hint="eastAsia" w:ascii="CESI仿宋-GB2312" w:hAnsi="CESI仿宋-GB2312" w:eastAsia="CESI仿宋-GB2312" w:cs="CESI仿宋-GB2312"/>
              <w:sz w:val="28"/>
              <w:szCs w:val="28"/>
            </w:rPr>
            <w:tab/>
          </w:r>
          <w:bookmarkStart w:id="11" w:name="_Toc1312561593_WPSOffice_Level2Page"/>
          <w:r>
            <w:rPr>
              <w:rFonts w:hint="eastAsia" w:ascii="CESI仿宋-GB2312" w:hAnsi="CESI仿宋-GB2312" w:eastAsia="CESI仿宋-GB2312" w:cs="CESI仿宋-GB2312"/>
              <w:sz w:val="28"/>
              <w:szCs w:val="28"/>
            </w:rPr>
            <w:t>17</w:t>
          </w:r>
          <w:bookmarkEnd w:id="11"/>
          <w:r>
            <w:rPr>
              <w:rFonts w:hint="eastAsia" w:ascii="CESI仿宋-GB2312" w:hAnsi="CESI仿宋-GB2312" w:eastAsia="CESI仿宋-GB2312" w:cs="CESI仿宋-GB2312"/>
              <w:sz w:val="28"/>
              <w:szCs w:val="28"/>
            </w:rPr>
            <w:fldChar w:fldCharType="end"/>
          </w:r>
        </w:p>
        <w:p>
          <w:pPr>
            <w:pStyle w:val="40"/>
            <w:tabs>
              <w:tab w:val="right" w:leader="dot" w:pos="8300"/>
            </w:tabs>
            <w:rPr>
              <w:b w:val="0"/>
              <w:bCs w:val="0"/>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_Toc655425461_WPSOffice_Level2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f8b5fce0-cced-4d6f-a918-17a0928f77e9}"/>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第四节 塑强地方金融改革品牌</w:t>
              </w:r>
            </w:sdtContent>
          </w:sdt>
          <w:r>
            <w:rPr>
              <w:rFonts w:hint="eastAsia" w:ascii="CESI仿宋-GB2312" w:hAnsi="CESI仿宋-GB2312" w:eastAsia="CESI仿宋-GB2312" w:cs="CESI仿宋-GB2312"/>
              <w:sz w:val="28"/>
              <w:szCs w:val="28"/>
            </w:rPr>
            <w:tab/>
          </w:r>
          <w:bookmarkStart w:id="12" w:name="_Toc655425461_WPSOffice_Level2Page"/>
          <w:r>
            <w:rPr>
              <w:rFonts w:hint="eastAsia" w:ascii="CESI仿宋-GB2312" w:hAnsi="CESI仿宋-GB2312" w:eastAsia="CESI仿宋-GB2312" w:cs="CESI仿宋-GB2312"/>
              <w:sz w:val="28"/>
              <w:szCs w:val="28"/>
            </w:rPr>
            <w:t>19</w:t>
          </w:r>
          <w:bookmarkEnd w:id="12"/>
          <w:r>
            <w:rPr>
              <w:rFonts w:hint="eastAsia" w:ascii="CESI仿宋-GB2312" w:hAnsi="CESI仿宋-GB2312" w:eastAsia="CESI仿宋-GB2312" w:cs="CESI仿宋-GB2312"/>
              <w:sz w:val="28"/>
              <w:szCs w:val="28"/>
            </w:rPr>
            <w:fldChar w:fldCharType="end"/>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_Toc885333632_WPSOffice_Level1 </w:instrText>
          </w:r>
          <w:r>
            <w:rPr>
              <w:b w:val="0"/>
              <w:bCs w:val="0"/>
              <w:sz w:val="28"/>
              <w:szCs w:val="28"/>
            </w:rPr>
            <w:fldChar w:fldCharType="separate"/>
          </w:r>
          <w:sdt>
            <w:sdtPr>
              <w:rPr>
                <w:rFonts w:eastAsia="SimSun-ExtB" w:asciiTheme="minorHAnsi" w:hAnsiTheme="minorHAnsi" w:cstheme="minorBidi"/>
                <w:b w:val="0"/>
                <w:bCs w:val="0"/>
                <w:kern w:val="44"/>
                <w:sz w:val="28"/>
                <w:szCs w:val="28"/>
                <w:lang w:val="en-US" w:eastAsia="zh-CN" w:bidi="ar-SA"/>
              </w:rPr>
              <w:id w:val="351071153"/>
              <w:placeholder>
                <w:docPart w:val="{a6e762c1-4b0c-49c3-afd5-63a79718145b}"/>
              </w:placeholder>
            </w:sdtPr>
            <w:sdtEndPr>
              <w:rPr>
                <w:rFonts w:eastAsia="SimSun-ExtB" w:asciiTheme="minorHAnsi" w:hAnsiTheme="minorHAnsi" w:cstheme="minorBidi"/>
                <w:b w:val="0"/>
                <w:bCs w:val="0"/>
                <w:kern w:val="44"/>
                <w:sz w:val="28"/>
                <w:szCs w:val="28"/>
                <w:lang w:val="en-US" w:eastAsia="zh-CN" w:bidi="ar-SA"/>
              </w:rPr>
            </w:sdtEndPr>
            <w:sdtContent>
              <w:r>
                <w:rPr>
                  <w:rFonts w:hint="eastAsia" w:ascii="黑体" w:hAnsi="黑体" w:eastAsia="黑体" w:cs="CESI黑体-GB2312"/>
                  <w:b w:val="0"/>
                  <w:bCs w:val="0"/>
                  <w:sz w:val="28"/>
                  <w:szCs w:val="28"/>
                  <w:lang w:val="en-US" w:eastAsia="zh-CN"/>
                </w:rPr>
                <w:t>第四部分  聚焦区域高质量发展 实施金融赋能工程</w:t>
              </w:r>
            </w:sdtContent>
          </w:sdt>
          <w:r>
            <w:rPr>
              <w:b w:val="0"/>
              <w:bCs w:val="0"/>
              <w:sz w:val="28"/>
              <w:szCs w:val="28"/>
            </w:rPr>
            <w:tab/>
          </w:r>
          <w:bookmarkStart w:id="13" w:name="_Toc885333632_WPSOffice_Level1Page"/>
          <w:r>
            <w:rPr>
              <w:b w:val="0"/>
              <w:bCs w:val="0"/>
              <w:sz w:val="28"/>
              <w:szCs w:val="28"/>
            </w:rPr>
            <w:t>22</w:t>
          </w:r>
          <w:bookmarkEnd w:id="13"/>
          <w:r>
            <w:rPr>
              <w:b w:val="0"/>
              <w:bCs w:val="0"/>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_Toc518189128_WPSOffice_Level2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7e5e956a-194b-4cda-add1-6fafa2015135}"/>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构建金融支持制造业发展新格局</w:t>
              </w:r>
            </w:sdtContent>
          </w:sdt>
          <w:r>
            <w:rPr>
              <w:rFonts w:hint="eastAsia" w:ascii="CESI仿宋-GB2312" w:hAnsi="CESI仿宋-GB2312" w:eastAsia="CESI仿宋-GB2312" w:cs="CESI仿宋-GB2312"/>
              <w:sz w:val="28"/>
              <w:szCs w:val="28"/>
            </w:rPr>
            <w:tab/>
          </w:r>
          <w:bookmarkStart w:id="14" w:name="_Toc518189128_WPSOffice_Level2Page"/>
          <w:r>
            <w:rPr>
              <w:rFonts w:hint="eastAsia" w:ascii="CESI仿宋-GB2312" w:hAnsi="CESI仿宋-GB2312" w:eastAsia="CESI仿宋-GB2312" w:cs="CESI仿宋-GB2312"/>
              <w:sz w:val="28"/>
              <w:szCs w:val="28"/>
            </w:rPr>
            <w:t>22</w:t>
          </w:r>
          <w:bookmarkEnd w:id="14"/>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_Toc1830006441_WPSOffice_Level2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61874f07-b853-4b0d-a765-4de0a7b0adf7}"/>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培育金融支持科创发展新动能</w:t>
              </w:r>
            </w:sdtContent>
          </w:sdt>
          <w:r>
            <w:rPr>
              <w:rFonts w:hint="eastAsia" w:ascii="CESI仿宋-GB2312" w:hAnsi="CESI仿宋-GB2312" w:eastAsia="CESI仿宋-GB2312" w:cs="CESI仿宋-GB2312"/>
              <w:sz w:val="28"/>
              <w:szCs w:val="28"/>
            </w:rPr>
            <w:tab/>
          </w:r>
          <w:bookmarkStart w:id="15" w:name="_Toc1830006441_WPSOffice_Level2Page"/>
          <w:r>
            <w:rPr>
              <w:rFonts w:hint="eastAsia" w:ascii="CESI仿宋-GB2312" w:hAnsi="CESI仿宋-GB2312" w:eastAsia="CESI仿宋-GB2312" w:cs="CESI仿宋-GB2312"/>
              <w:sz w:val="28"/>
              <w:szCs w:val="28"/>
            </w:rPr>
            <w:t>25</w:t>
          </w:r>
          <w:bookmarkEnd w:id="15"/>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_Toc1974951631_WPSOffice_Level2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9c3a2b2c-4c71-435f-894a-487c9042f4cb}"/>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第三节 建设金融支持乡村振兴新高地</w:t>
              </w:r>
            </w:sdtContent>
          </w:sdt>
          <w:r>
            <w:rPr>
              <w:rFonts w:hint="eastAsia" w:ascii="CESI仿宋-GB2312" w:hAnsi="CESI仿宋-GB2312" w:eastAsia="CESI仿宋-GB2312" w:cs="CESI仿宋-GB2312"/>
              <w:sz w:val="28"/>
              <w:szCs w:val="28"/>
            </w:rPr>
            <w:tab/>
          </w:r>
          <w:bookmarkStart w:id="16" w:name="_Toc1974951631_WPSOffice_Level2Page"/>
          <w:r>
            <w:rPr>
              <w:rFonts w:hint="eastAsia" w:ascii="CESI仿宋-GB2312" w:hAnsi="CESI仿宋-GB2312" w:eastAsia="CESI仿宋-GB2312" w:cs="CESI仿宋-GB2312"/>
              <w:sz w:val="28"/>
              <w:szCs w:val="28"/>
            </w:rPr>
            <w:t>26</w:t>
          </w:r>
          <w:bookmarkEnd w:id="16"/>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_Toc1304114400_WPSOffice_Level2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c4cb4cf9-8f5d-411b-aad9-57703676dfca}"/>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第四节 打造金融支持普惠小微服务新样板</w:t>
              </w:r>
            </w:sdtContent>
          </w:sdt>
          <w:r>
            <w:rPr>
              <w:rFonts w:hint="eastAsia" w:ascii="CESI仿宋-GB2312" w:hAnsi="CESI仿宋-GB2312" w:eastAsia="CESI仿宋-GB2312" w:cs="CESI仿宋-GB2312"/>
              <w:sz w:val="28"/>
              <w:szCs w:val="28"/>
            </w:rPr>
            <w:tab/>
          </w:r>
          <w:bookmarkStart w:id="17" w:name="_Toc1304114400_WPSOffice_Level2Page"/>
          <w:r>
            <w:rPr>
              <w:rFonts w:hint="eastAsia" w:ascii="CESI仿宋-GB2312" w:hAnsi="CESI仿宋-GB2312" w:eastAsia="CESI仿宋-GB2312" w:cs="CESI仿宋-GB2312"/>
              <w:sz w:val="28"/>
              <w:szCs w:val="28"/>
            </w:rPr>
            <w:t>28</w:t>
          </w:r>
          <w:bookmarkEnd w:id="17"/>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_Toc1918491131_WPSOffice_Level2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8f4c342e-507d-4628-9dbd-2ea8130424ed}"/>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第五节 推进“双碳目标下”绿色金融新实践</w:t>
              </w:r>
            </w:sdtContent>
          </w:sdt>
          <w:r>
            <w:rPr>
              <w:rFonts w:hint="eastAsia" w:ascii="CESI仿宋-GB2312" w:hAnsi="CESI仿宋-GB2312" w:eastAsia="CESI仿宋-GB2312" w:cs="CESI仿宋-GB2312"/>
              <w:sz w:val="28"/>
              <w:szCs w:val="28"/>
            </w:rPr>
            <w:tab/>
          </w:r>
          <w:bookmarkStart w:id="18" w:name="_Toc1918491131_WPSOffice_Level2Page"/>
          <w:r>
            <w:rPr>
              <w:rFonts w:hint="eastAsia" w:ascii="CESI仿宋-GB2312" w:hAnsi="CESI仿宋-GB2312" w:eastAsia="CESI仿宋-GB2312" w:cs="CESI仿宋-GB2312"/>
              <w:sz w:val="28"/>
              <w:szCs w:val="28"/>
            </w:rPr>
            <w:t>31</w:t>
          </w:r>
          <w:bookmarkEnd w:id="18"/>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_Toc209895767_WPSOffice_Level2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5e4131b1-7ded-4a4b-a4de-3c35634c7ef9}"/>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第六节 探索金融支持文旅康养新路径</w:t>
              </w:r>
            </w:sdtContent>
          </w:sdt>
          <w:r>
            <w:rPr>
              <w:rFonts w:hint="eastAsia" w:ascii="CESI仿宋-GB2312" w:hAnsi="CESI仿宋-GB2312" w:eastAsia="CESI仿宋-GB2312" w:cs="CESI仿宋-GB2312"/>
              <w:sz w:val="28"/>
              <w:szCs w:val="28"/>
            </w:rPr>
            <w:tab/>
          </w:r>
          <w:bookmarkStart w:id="19" w:name="_Toc209895767_WPSOffice_Level2Page"/>
          <w:r>
            <w:rPr>
              <w:rFonts w:hint="eastAsia" w:ascii="CESI仿宋-GB2312" w:hAnsi="CESI仿宋-GB2312" w:eastAsia="CESI仿宋-GB2312" w:cs="CESI仿宋-GB2312"/>
              <w:sz w:val="28"/>
              <w:szCs w:val="28"/>
            </w:rPr>
            <w:t>33</w:t>
          </w:r>
          <w:bookmarkEnd w:id="19"/>
          <w:r>
            <w:rPr>
              <w:rFonts w:hint="eastAsia" w:ascii="CESI仿宋-GB2312" w:hAnsi="CESI仿宋-GB2312" w:eastAsia="CESI仿宋-GB2312" w:cs="CESI仿宋-GB2312"/>
              <w:sz w:val="28"/>
              <w:szCs w:val="28"/>
            </w:rPr>
            <w:fldChar w:fldCharType="end"/>
          </w:r>
        </w:p>
        <w:p>
          <w:pPr>
            <w:pStyle w:val="40"/>
            <w:tabs>
              <w:tab w:val="right" w:leader="dot" w:pos="8300"/>
            </w:tabs>
            <w:rPr>
              <w:b w:val="0"/>
              <w:bCs w:val="0"/>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_Toc1416099066_WPSOffice_Level2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e955b151-3476-4fda-af5c-4470e00f07b0}"/>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第七节 形成金融支持重点项目融资新生态</w:t>
              </w:r>
            </w:sdtContent>
          </w:sdt>
          <w:r>
            <w:rPr>
              <w:rFonts w:hint="eastAsia" w:ascii="CESI仿宋-GB2312" w:hAnsi="CESI仿宋-GB2312" w:eastAsia="CESI仿宋-GB2312" w:cs="CESI仿宋-GB2312"/>
              <w:sz w:val="28"/>
              <w:szCs w:val="28"/>
            </w:rPr>
            <w:tab/>
          </w:r>
          <w:bookmarkStart w:id="20" w:name="_Toc1416099066_WPSOffice_Level2Page"/>
          <w:r>
            <w:rPr>
              <w:rFonts w:hint="eastAsia" w:ascii="CESI仿宋-GB2312" w:hAnsi="CESI仿宋-GB2312" w:eastAsia="CESI仿宋-GB2312" w:cs="CESI仿宋-GB2312"/>
              <w:sz w:val="28"/>
              <w:szCs w:val="28"/>
            </w:rPr>
            <w:t>35</w:t>
          </w:r>
          <w:bookmarkEnd w:id="20"/>
          <w:r>
            <w:rPr>
              <w:rFonts w:hint="eastAsia" w:ascii="CESI仿宋-GB2312" w:hAnsi="CESI仿宋-GB2312" w:eastAsia="CESI仿宋-GB2312" w:cs="CESI仿宋-GB2312"/>
              <w:sz w:val="28"/>
              <w:szCs w:val="28"/>
            </w:rPr>
            <w:fldChar w:fldCharType="end"/>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_Toc2017530698_WPSOffice_Level1 </w:instrText>
          </w:r>
          <w:r>
            <w:rPr>
              <w:b w:val="0"/>
              <w:bCs w:val="0"/>
              <w:sz w:val="28"/>
              <w:szCs w:val="28"/>
            </w:rPr>
            <w:fldChar w:fldCharType="separate"/>
          </w:r>
          <w:sdt>
            <w:sdtPr>
              <w:rPr>
                <w:rFonts w:eastAsia="SimSun-ExtB" w:asciiTheme="minorHAnsi" w:hAnsiTheme="minorHAnsi" w:cstheme="minorBidi"/>
                <w:b w:val="0"/>
                <w:bCs w:val="0"/>
                <w:kern w:val="44"/>
                <w:sz w:val="28"/>
                <w:szCs w:val="28"/>
                <w:lang w:val="en-US" w:eastAsia="zh-CN" w:bidi="ar-SA"/>
              </w:rPr>
              <w:id w:val="351071153"/>
              <w:placeholder>
                <w:docPart w:val="{a3ad0d62-5427-4879-a909-a30667f356b9}"/>
              </w:placeholder>
            </w:sdtPr>
            <w:sdtEndPr>
              <w:rPr>
                <w:rFonts w:hint="eastAsia" w:ascii="黑体" w:hAnsi="黑体" w:eastAsia="黑体" w:cs="CESI黑体-GB2312"/>
                <w:b w:val="0"/>
                <w:bCs w:val="0"/>
                <w:kern w:val="44"/>
                <w:sz w:val="28"/>
                <w:szCs w:val="28"/>
                <w:lang w:val="en-US" w:eastAsia="zh-CN" w:bidi="ar-SA"/>
              </w:rPr>
            </w:sdtEndPr>
            <w:sdtContent>
              <w:r>
                <w:rPr>
                  <w:rFonts w:hint="eastAsia" w:ascii="黑体" w:hAnsi="黑体" w:eastAsia="黑体" w:cs="CESI黑体-GB2312"/>
                  <w:b w:val="0"/>
                  <w:bCs w:val="0"/>
                  <w:sz w:val="28"/>
                  <w:szCs w:val="28"/>
                  <w:lang w:val="en-US" w:eastAsia="zh-CN"/>
                </w:rPr>
                <w:t xml:space="preserve">第五部分 </w:t>
              </w:r>
              <w:bookmarkStart w:id="21" w:name="_Toc2017530698_WPSOffice_Level1Page"/>
              <w:r>
                <w:rPr>
                  <w:rFonts w:hint="eastAsia" w:ascii="黑体" w:hAnsi="黑体" w:eastAsia="黑体" w:cs="CESI黑体-GB2312"/>
                  <w:b w:val="0"/>
                  <w:bCs w:val="0"/>
                  <w:sz w:val="28"/>
                  <w:szCs w:val="28"/>
                  <w:lang w:eastAsia="zh-CN"/>
                </w:rPr>
                <w:t>聚焦区域金融安全</w:t>
              </w:r>
              <w:r>
                <w:rPr>
                  <w:rFonts w:hint="eastAsia" w:ascii="黑体" w:hAnsi="黑体" w:eastAsia="黑体" w:cs="CESI黑体-GB2312"/>
                  <w:b w:val="0"/>
                  <w:bCs w:val="0"/>
                  <w:sz w:val="28"/>
                  <w:szCs w:val="28"/>
                </w:rPr>
                <w:t xml:space="preserve"> </w:t>
              </w:r>
              <w:r>
                <w:rPr>
                  <w:rFonts w:hint="eastAsia" w:ascii="黑体" w:hAnsi="黑体" w:eastAsia="黑体" w:cs="CESI黑体-GB2312"/>
                  <w:b w:val="0"/>
                  <w:bCs w:val="0"/>
                  <w:sz w:val="28"/>
                  <w:szCs w:val="28"/>
                  <w:lang w:eastAsia="zh-CN"/>
                </w:rPr>
                <w:t>实施金融防护工程</w:t>
              </w:r>
            </w:sdtContent>
          </w:sdt>
          <w:r>
            <w:rPr>
              <w:rFonts w:hint="eastAsia" w:ascii="黑体" w:hAnsi="黑体" w:eastAsia="黑体" w:cs="CESI黑体-GB2312"/>
              <w:b w:val="0"/>
              <w:bCs w:val="0"/>
              <w:kern w:val="44"/>
              <w:sz w:val="28"/>
              <w:szCs w:val="28"/>
              <w:lang w:val="en-US" w:eastAsia="zh-CN" w:bidi="ar-SA"/>
            </w:rPr>
            <w:t>...........................</w:t>
          </w:r>
          <w:r>
            <w:rPr>
              <w:rFonts w:hint="eastAsia" w:ascii="黑体" w:hAnsi="黑体" w:eastAsia="黑体" w:cs="CESI黑体-GB2312"/>
              <w:b w:val="0"/>
              <w:bCs w:val="0"/>
              <w:sz w:val="28"/>
              <w:szCs w:val="28"/>
              <w:lang w:val="en-US" w:eastAsia="zh-CN"/>
            </w:rPr>
            <w:t>37</w:t>
          </w:r>
          <w:bookmarkEnd w:id="21"/>
          <w:r>
            <w:rPr>
              <w:rFonts w:hint="eastAsia" w:ascii="黑体" w:hAnsi="黑体" w:eastAsia="黑体" w:cs="CESI黑体-GB2312"/>
              <w:b w:val="0"/>
              <w:bCs w:val="0"/>
              <w:sz w:val="28"/>
              <w:szCs w:val="28"/>
              <w:lang w:val="en-US" w:eastAsia="zh-CN"/>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_Toc1602073166_WPSOffice_Level2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c1ecf2f9-8a2c-4ea1-85ac-28cda2c9ec97}"/>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健全完善风险监测预警机制</w:t>
              </w:r>
            </w:sdtContent>
          </w:sdt>
          <w:r>
            <w:rPr>
              <w:rFonts w:hint="eastAsia" w:ascii="CESI仿宋-GB2312" w:hAnsi="CESI仿宋-GB2312" w:eastAsia="CESI仿宋-GB2312" w:cs="CESI仿宋-GB2312"/>
              <w:sz w:val="28"/>
              <w:szCs w:val="28"/>
            </w:rPr>
            <w:tab/>
          </w:r>
          <w:bookmarkStart w:id="22" w:name="_Toc1602073166_WPSOffice_Level2Page"/>
          <w:r>
            <w:rPr>
              <w:rFonts w:hint="eastAsia" w:ascii="CESI仿宋-GB2312" w:hAnsi="CESI仿宋-GB2312" w:eastAsia="CESI仿宋-GB2312" w:cs="CESI仿宋-GB2312"/>
              <w:sz w:val="28"/>
              <w:szCs w:val="28"/>
            </w:rPr>
            <w:t>37</w:t>
          </w:r>
          <w:bookmarkEnd w:id="22"/>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_Toc899523255_WPSOffice_Level2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5634981f-5e59-495d-900e-0a404d1fb60c}"/>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稳妥防范处置突出风险点</w:t>
              </w:r>
              <w:bookmarkStart w:id="77" w:name="_GoBack"/>
              <w:bookmarkEnd w:id="77"/>
            </w:sdtContent>
          </w:sdt>
          <w:r>
            <w:rPr>
              <w:rFonts w:hint="eastAsia" w:ascii="CESI仿宋-GB2312" w:hAnsi="CESI仿宋-GB2312" w:eastAsia="CESI仿宋-GB2312" w:cs="CESI仿宋-GB2312"/>
              <w:sz w:val="28"/>
              <w:szCs w:val="28"/>
            </w:rPr>
            <w:tab/>
          </w:r>
          <w:bookmarkStart w:id="23" w:name="_Toc899523255_WPSOffice_Level2Page"/>
          <w:r>
            <w:rPr>
              <w:rFonts w:hint="eastAsia" w:ascii="CESI仿宋-GB2312" w:hAnsi="CESI仿宋-GB2312" w:eastAsia="CESI仿宋-GB2312" w:cs="CESI仿宋-GB2312"/>
              <w:sz w:val="28"/>
              <w:szCs w:val="28"/>
            </w:rPr>
            <w:t>38</w:t>
          </w:r>
          <w:bookmarkEnd w:id="23"/>
          <w:r>
            <w:rPr>
              <w:rFonts w:hint="eastAsia" w:ascii="CESI仿宋-GB2312" w:hAnsi="CESI仿宋-GB2312" w:eastAsia="CESI仿宋-GB2312" w:cs="CESI仿宋-GB2312"/>
              <w:sz w:val="28"/>
              <w:szCs w:val="28"/>
            </w:rPr>
            <w:fldChar w:fldCharType="end"/>
          </w:r>
        </w:p>
        <w:p>
          <w:pPr>
            <w:pStyle w:val="40"/>
            <w:tabs>
              <w:tab w:val="right" w:leader="dot" w:pos="8300"/>
            </w:tabs>
            <w:rPr>
              <w:b w:val="0"/>
              <w:bCs w:val="0"/>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_Toc1982700137_WPSOffice_Level2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04936ea5-c2ef-443d-b14e-32b3c8f4eae4}"/>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第三节 加强金融生态环境建设</w:t>
              </w:r>
            </w:sdtContent>
          </w:sdt>
          <w:r>
            <w:rPr>
              <w:rFonts w:hint="eastAsia" w:ascii="CESI仿宋-GB2312" w:hAnsi="CESI仿宋-GB2312" w:eastAsia="CESI仿宋-GB2312" w:cs="CESI仿宋-GB2312"/>
              <w:sz w:val="28"/>
              <w:szCs w:val="28"/>
            </w:rPr>
            <w:tab/>
          </w:r>
          <w:bookmarkStart w:id="24" w:name="_Toc1982700137_WPSOffice_Level2Page"/>
          <w:r>
            <w:rPr>
              <w:rFonts w:hint="eastAsia" w:ascii="CESI仿宋-GB2312" w:hAnsi="CESI仿宋-GB2312" w:eastAsia="CESI仿宋-GB2312" w:cs="CESI仿宋-GB2312"/>
              <w:sz w:val="28"/>
              <w:szCs w:val="28"/>
            </w:rPr>
            <w:t>40</w:t>
          </w:r>
          <w:bookmarkEnd w:id="24"/>
          <w:r>
            <w:rPr>
              <w:rFonts w:hint="eastAsia" w:ascii="CESI仿宋-GB2312" w:hAnsi="CESI仿宋-GB2312" w:eastAsia="CESI仿宋-GB2312" w:cs="CESI仿宋-GB2312"/>
              <w:sz w:val="28"/>
              <w:szCs w:val="28"/>
            </w:rPr>
            <w:fldChar w:fldCharType="end"/>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_Toc1719679573_WPSOffice_Level1 </w:instrText>
          </w:r>
          <w:r>
            <w:rPr>
              <w:b w:val="0"/>
              <w:bCs w:val="0"/>
              <w:sz w:val="28"/>
              <w:szCs w:val="28"/>
            </w:rPr>
            <w:fldChar w:fldCharType="separate"/>
          </w:r>
          <w:sdt>
            <w:sdtPr>
              <w:rPr>
                <w:rFonts w:hint="eastAsia" w:ascii="黑体" w:hAnsi="黑体" w:eastAsia="黑体" w:cs="CESI黑体-GB2312"/>
                <w:b w:val="0"/>
                <w:bCs w:val="0"/>
                <w:sz w:val="28"/>
                <w:szCs w:val="28"/>
                <w:lang w:val="en-US" w:eastAsia="zh-CN"/>
              </w:rPr>
              <w:id w:val="351071153"/>
              <w:placeholder>
                <w:docPart w:val="{9378617f-33d2-4a9e-b447-c2d101697e32}"/>
              </w:placeholder>
            </w:sdtPr>
            <w:sdtEndPr>
              <w:rPr>
                <w:rFonts w:hint="eastAsia" w:eastAsia="SimSun-ExtB" w:asciiTheme="minorHAnsi" w:hAnsiTheme="minorHAnsi" w:cstheme="minorBidi"/>
                <w:b w:val="0"/>
                <w:bCs w:val="0"/>
                <w:kern w:val="44"/>
                <w:sz w:val="28"/>
                <w:szCs w:val="28"/>
                <w:lang w:val="en-US" w:eastAsia="zh-CN" w:bidi="ar-SA"/>
              </w:rPr>
            </w:sdtEndPr>
            <w:sdtContent>
              <w:r>
                <w:rPr>
                  <w:rFonts w:hint="eastAsia" w:ascii="黑体" w:hAnsi="黑体" w:eastAsia="黑体" w:cs="CESI黑体-GB2312"/>
                  <w:b w:val="0"/>
                  <w:bCs w:val="0"/>
                  <w:sz w:val="28"/>
                  <w:szCs w:val="28"/>
                  <w:lang w:val="en-US" w:eastAsia="zh-CN"/>
                </w:rPr>
                <w:t>第六部分 加强规划实施保障 开创金融高质量发展新局面</w:t>
              </w:r>
            </w:sdtContent>
          </w:sdt>
          <w:r>
            <w:rPr>
              <w:b w:val="0"/>
              <w:bCs w:val="0"/>
              <w:sz w:val="28"/>
              <w:szCs w:val="28"/>
            </w:rPr>
            <w:tab/>
          </w:r>
          <w:bookmarkStart w:id="25" w:name="_Toc1719679573_WPSOffice_Level1Page"/>
          <w:r>
            <w:rPr>
              <w:b w:val="0"/>
              <w:bCs w:val="0"/>
              <w:sz w:val="28"/>
              <w:szCs w:val="28"/>
            </w:rPr>
            <w:t>42</w:t>
          </w:r>
          <w:bookmarkEnd w:id="25"/>
          <w:r>
            <w:rPr>
              <w:b w:val="0"/>
              <w:bCs w:val="0"/>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_Toc1867030878_WPSOffice_Level2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4dd62f95-36e9-4bc4-8d45-4ab37d70ae1c}"/>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加强党对金融工作的领导</w:t>
              </w:r>
            </w:sdtContent>
          </w:sdt>
          <w:r>
            <w:rPr>
              <w:rFonts w:hint="eastAsia" w:ascii="CESI仿宋-GB2312" w:hAnsi="CESI仿宋-GB2312" w:eastAsia="CESI仿宋-GB2312" w:cs="CESI仿宋-GB2312"/>
              <w:sz w:val="28"/>
              <w:szCs w:val="28"/>
            </w:rPr>
            <w:tab/>
          </w:r>
          <w:bookmarkStart w:id="26" w:name="_Toc1867030878_WPSOffice_Level2Page"/>
          <w:r>
            <w:rPr>
              <w:rFonts w:hint="eastAsia" w:ascii="CESI仿宋-GB2312" w:hAnsi="CESI仿宋-GB2312" w:eastAsia="CESI仿宋-GB2312" w:cs="CESI仿宋-GB2312"/>
              <w:sz w:val="28"/>
              <w:szCs w:val="28"/>
            </w:rPr>
            <w:t>42</w:t>
          </w:r>
          <w:bookmarkEnd w:id="26"/>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_Toc1801910826_WPSOffice_Level2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a6cab34c-232c-48cd-a56c-a15107e0cd6b}"/>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完善纵横结合的协调机制</w:t>
              </w:r>
            </w:sdtContent>
          </w:sdt>
          <w:r>
            <w:rPr>
              <w:rFonts w:hint="eastAsia" w:ascii="CESI仿宋-GB2312" w:hAnsi="CESI仿宋-GB2312" w:eastAsia="CESI仿宋-GB2312" w:cs="CESI仿宋-GB2312"/>
              <w:sz w:val="28"/>
              <w:szCs w:val="28"/>
            </w:rPr>
            <w:tab/>
          </w:r>
          <w:bookmarkStart w:id="27" w:name="_Toc1801910826_WPSOffice_Level2Page"/>
          <w:r>
            <w:rPr>
              <w:rFonts w:hint="eastAsia" w:ascii="CESI仿宋-GB2312" w:hAnsi="CESI仿宋-GB2312" w:eastAsia="CESI仿宋-GB2312" w:cs="CESI仿宋-GB2312"/>
              <w:sz w:val="28"/>
              <w:szCs w:val="28"/>
            </w:rPr>
            <w:t>42</w:t>
          </w:r>
          <w:bookmarkEnd w:id="27"/>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_Toc1784856696_WPSOffice_Level2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1d07879a-a1f0-4583-86ce-e06f1818d4b5}"/>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第三节 筑牢金融人才保障基础</w:t>
              </w:r>
            </w:sdtContent>
          </w:sdt>
          <w:r>
            <w:rPr>
              <w:rFonts w:hint="eastAsia" w:ascii="CESI仿宋-GB2312" w:hAnsi="CESI仿宋-GB2312" w:eastAsia="CESI仿宋-GB2312" w:cs="CESI仿宋-GB2312"/>
              <w:sz w:val="28"/>
              <w:szCs w:val="28"/>
            </w:rPr>
            <w:tab/>
          </w:r>
          <w:bookmarkStart w:id="28" w:name="_Toc1784856696_WPSOffice_Level2Page"/>
          <w:r>
            <w:rPr>
              <w:rFonts w:hint="eastAsia" w:ascii="CESI仿宋-GB2312" w:hAnsi="CESI仿宋-GB2312" w:eastAsia="CESI仿宋-GB2312" w:cs="CESI仿宋-GB2312"/>
              <w:sz w:val="28"/>
              <w:szCs w:val="28"/>
            </w:rPr>
            <w:t>43</w:t>
          </w:r>
          <w:bookmarkEnd w:id="28"/>
          <w:r>
            <w:rPr>
              <w:rFonts w:hint="eastAsia" w:ascii="CESI仿宋-GB2312" w:hAnsi="CESI仿宋-GB2312" w:eastAsia="CESI仿宋-GB2312" w:cs="CESI仿宋-GB2312"/>
              <w:sz w:val="28"/>
              <w:szCs w:val="28"/>
            </w:rPr>
            <w:fldChar w:fldCharType="end"/>
          </w:r>
        </w:p>
        <w:p>
          <w:pPr>
            <w:pStyle w:val="40"/>
            <w:tabs>
              <w:tab w:val="right" w:leader="dot" w:pos="8300"/>
            </w:tabs>
            <w:rPr>
              <w:b w:val="0"/>
              <w:bCs w:val="0"/>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_Toc2118353846_WPSOffice_Level2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35c7225b-5310-4290-a14a-12a836cd1077}"/>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第四节 完善规划实施机制</w:t>
              </w:r>
            </w:sdtContent>
          </w:sdt>
          <w:r>
            <w:rPr>
              <w:rFonts w:hint="eastAsia" w:ascii="CESI仿宋-GB2312" w:hAnsi="CESI仿宋-GB2312" w:eastAsia="CESI仿宋-GB2312" w:cs="CESI仿宋-GB2312"/>
              <w:sz w:val="28"/>
              <w:szCs w:val="28"/>
            </w:rPr>
            <w:tab/>
          </w:r>
          <w:bookmarkStart w:id="29" w:name="_Toc2118353846_WPSOffice_Level2Page"/>
          <w:r>
            <w:rPr>
              <w:rFonts w:hint="eastAsia" w:ascii="CESI仿宋-GB2312" w:hAnsi="CESI仿宋-GB2312" w:eastAsia="CESI仿宋-GB2312" w:cs="CESI仿宋-GB2312"/>
              <w:sz w:val="28"/>
              <w:szCs w:val="28"/>
            </w:rPr>
            <w:t>43</w:t>
          </w:r>
          <w:bookmarkEnd w:id="29"/>
          <w:r>
            <w:rPr>
              <w:rFonts w:hint="eastAsia" w:ascii="CESI仿宋-GB2312" w:hAnsi="CESI仿宋-GB2312" w:eastAsia="CESI仿宋-GB2312" w:cs="CESI仿宋-GB2312"/>
              <w:sz w:val="28"/>
              <w:szCs w:val="28"/>
            </w:rPr>
            <w:fldChar w:fldCharType="end"/>
          </w:r>
          <w:bookmarkEnd w:id="0"/>
        </w:p>
      </w:sdtContent>
    </w:sdt>
    <w:p>
      <w:pPr>
        <w:pStyle w:val="3"/>
        <w:pageBreakBefore w:val="0"/>
        <w:widowControl w:val="0"/>
        <w:kinsoku/>
        <w:wordWrap/>
        <w:overflowPunct/>
        <w:topLinePunct w:val="0"/>
        <w:autoSpaceDE/>
        <w:autoSpaceDN/>
        <w:bidi w:val="0"/>
        <w:adjustRightInd/>
        <w:snapToGrid/>
        <w:spacing w:before="0" w:after="0" w:line="560" w:lineRule="exact"/>
        <w:jc w:val="both"/>
        <w:textAlignment w:val="auto"/>
        <w:rPr>
          <w:rFonts w:ascii="仿宋" w:hAnsi="仿宋" w:eastAsia="仿宋" w:cs="CESI黑体-GB2312"/>
          <w:bCs w:val="0"/>
          <w:szCs w:val="28"/>
        </w:rPr>
      </w:pPr>
    </w:p>
    <w:p>
      <w:pPr>
        <w:pStyle w:val="3"/>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s="CESI黑体-GB2312"/>
          <w:bCs w:val="0"/>
          <w:szCs w:val="28"/>
        </w:rPr>
      </w:pPr>
    </w:p>
    <w:p>
      <w:pPr>
        <w:pageBreakBefore w:val="0"/>
        <w:widowControl w:val="0"/>
        <w:kinsoku/>
        <w:wordWrap/>
        <w:overflowPunct/>
        <w:topLinePunct w:val="0"/>
        <w:autoSpaceDE/>
        <w:autoSpaceDN/>
        <w:bidi w:val="0"/>
        <w:adjustRightInd/>
        <w:snapToGrid/>
        <w:spacing w:line="560" w:lineRule="exact"/>
        <w:textAlignment w:val="auto"/>
        <w:rPr>
          <w:rFonts w:ascii="仿宋" w:hAnsi="仿宋" w:eastAsia="仿宋" w:cs="CESI黑体-GB2312"/>
          <w:szCs w:val="28"/>
        </w:rPr>
      </w:pPr>
    </w:p>
    <w:p>
      <w:pPr>
        <w:rPr>
          <w:rFonts w:ascii="仿宋" w:hAnsi="仿宋" w:eastAsia="仿宋" w:cs="CESI黑体-GB2312"/>
          <w:szCs w:val="28"/>
        </w:rPr>
      </w:pPr>
    </w:p>
    <w:p>
      <w:pPr>
        <w:pStyle w:val="3"/>
        <w:spacing w:line="240" w:lineRule="atLeast"/>
        <w:rPr>
          <w:rFonts w:ascii="CESI黑体-GB2312" w:hAnsi="CESI黑体-GB2312" w:eastAsia="CESI黑体-GB2312" w:cs="CESI黑体-GB2312"/>
          <w:b w:val="0"/>
          <w:bCs w:val="0"/>
          <w:sz w:val="36"/>
          <w:szCs w:val="36"/>
        </w:rPr>
      </w:pPr>
    </w:p>
    <w:p>
      <w:pPr>
        <w:rPr>
          <w:rFonts w:hint="eastAsia"/>
        </w:rPr>
      </w:pPr>
    </w:p>
    <w:p>
      <w:pPr>
        <w:pStyle w:val="3"/>
        <w:spacing w:line="240" w:lineRule="atLeast"/>
        <w:jc w:val="both"/>
        <w:rPr>
          <w:rFonts w:hint="eastAsia" w:ascii="CESI黑体-GB2312" w:hAnsi="CESI黑体-GB2312" w:eastAsia="CESI黑体-GB2312" w:cs="CESI黑体-GB2312"/>
          <w:b w:val="0"/>
          <w:bCs w:val="0"/>
          <w:sz w:val="36"/>
          <w:szCs w:val="36"/>
        </w:rPr>
      </w:pPr>
    </w:p>
    <w:p>
      <w:pPr>
        <w:spacing w:line="360" w:lineRule="auto"/>
        <w:jc w:val="left"/>
        <w:rPr>
          <w:rFonts w:ascii="仿宋" w:hAnsi="仿宋" w:eastAsia="仿宋"/>
          <w:sz w:val="28"/>
          <w:szCs w:val="28"/>
        </w:rPr>
      </w:pPr>
    </w:p>
    <w:p>
      <w:pPr>
        <w:spacing w:line="360" w:lineRule="auto"/>
        <w:jc w:val="left"/>
        <w:rPr>
          <w:rFonts w:ascii="仿宋" w:hAnsi="仿宋" w:eastAsia="仿宋"/>
          <w:sz w:val="28"/>
          <w:szCs w:val="28"/>
        </w:rPr>
      </w:pPr>
    </w:p>
    <w:p>
      <w:pPr>
        <w:spacing w:line="360" w:lineRule="auto"/>
        <w:jc w:val="left"/>
        <w:rPr>
          <w:rFonts w:ascii="仿宋" w:hAnsi="仿宋" w:eastAsia="仿宋"/>
          <w:sz w:val="28"/>
          <w:szCs w:val="28"/>
        </w:rPr>
      </w:pPr>
    </w:p>
    <w:p>
      <w:pPr>
        <w:pStyle w:val="40"/>
        <w:keepNext w:val="0"/>
        <w:keepLines w:val="0"/>
        <w:pageBreakBefore w:val="0"/>
        <w:widowControl/>
        <w:tabs>
          <w:tab w:val="right" w:leader="dot" w:pos="8300"/>
        </w:tabs>
        <w:kinsoku/>
        <w:wordWrap/>
        <w:overflowPunct/>
        <w:topLinePunct w:val="0"/>
        <w:autoSpaceDE/>
        <w:autoSpaceDN/>
        <w:bidi w:val="0"/>
        <w:adjustRightInd/>
        <w:snapToGrid/>
        <w:spacing w:line="560" w:lineRule="exact"/>
        <w:jc w:val="center"/>
        <w:textAlignment w:val="auto"/>
        <w:rPr>
          <w:rFonts w:hint="default" w:ascii="仿宋" w:hAnsi="仿宋" w:eastAsia="仿宋"/>
          <w:sz w:val="28"/>
          <w:szCs w:val="28"/>
        </w:rPr>
      </w:pPr>
      <w:bookmarkStart w:id="30" w:name="_Toc85389544"/>
      <w:r>
        <w:rPr>
          <w:rFonts w:hint="default" w:ascii="仿宋" w:hAnsi="仿宋" w:eastAsia="仿宋"/>
          <w:sz w:val="28"/>
          <w:szCs w:val="28"/>
        </w:rPr>
        <w:t xml:space="preserve"> </w:t>
      </w:r>
    </w:p>
    <w:p>
      <w:pPr>
        <w:pStyle w:val="40"/>
        <w:keepNext w:val="0"/>
        <w:keepLines w:val="0"/>
        <w:pageBreakBefore w:val="0"/>
        <w:widowControl/>
        <w:tabs>
          <w:tab w:val="right" w:leader="dot" w:pos="8300"/>
        </w:tabs>
        <w:kinsoku/>
        <w:wordWrap/>
        <w:overflowPunct/>
        <w:topLinePunct w:val="0"/>
        <w:autoSpaceDE/>
        <w:autoSpaceDN/>
        <w:bidi w:val="0"/>
        <w:adjustRightInd/>
        <w:snapToGrid/>
        <w:spacing w:line="560" w:lineRule="exact"/>
        <w:jc w:val="center"/>
        <w:textAlignment w:val="auto"/>
        <w:rPr>
          <w:rFonts w:hint="default" w:ascii="仿宋" w:hAnsi="仿宋" w:eastAsia="仿宋"/>
          <w:sz w:val="28"/>
          <w:szCs w:val="28"/>
        </w:rPr>
      </w:pPr>
    </w:p>
    <w:p>
      <w:pPr>
        <w:pStyle w:val="40"/>
        <w:keepNext w:val="0"/>
        <w:keepLines w:val="0"/>
        <w:pageBreakBefore w:val="0"/>
        <w:widowControl/>
        <w:tabs>
          <w:tab w:val="right" w:leader="dot" w:pos="8300"/>
        </w:tabs>
        <w:kinsoku/>
        <w:wordWrap/>
        <w:overflowPunct/>
        <w:topLinePunct w:val="0"/>
        <w:autoSpaceDE/>
        <w:autoSpaceDN/>
        <w:bidi w:val="0"/>
        <w:adjustRightInd/>
        <w:snapToGrid/>
        <w:spacing w:line="560" w:lineRule="exact"/>
        <w:jc w:val="center"/>
        <w:textAlignment w:val="auto"/>
        <w:rPr>
          <w:rFonts w:hint="default" w:ascii="仿宋" w:hAnsi="仿宋" w:eastAsia="仿宋"/>
          <w:sz w:val="28"/>
          <w:szCs w:val="28"/>
        </w:rPr>
      </w:pPr>
    </w:p>
    <w:p>
      <w:pPr>
        <w:pStyle w:val="40"/>
        <w:keepNext w:val="0"/>
        <w:keepLines w:val="0"/>
        <w:pageBreakBefore w:val="0"/>
        <w:widowControl/>
        <w:tabs>
          <w:tab w:val="right" w:leader="dot" w:pos="8300"/>
        </w:tabs>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CESI黑体-GB2312"/>
          <w:b w:val="0"/>
          <w:sz w:val="36"/>
          <w:szCs w:val="36"/>
          <w:lang w:eastAsia="zh-CN"/>
        </w:rPr>
      </w:pPr>
      <w:sdt>
        <w:sdtPr>
          <w:rPr>
            <w:rFonts w:ascii="宋体" w:hAnsi="宋体" w:eastAsia="宋体" w:cstheme="minorBidi"/>
            <w:kern w:val="2"/>
            <w:sz w:val="21"/>
            <w:szCs w:val="24"/>
            <w:lang w:val="en-US" w:eastAsia="zh-CN" w:bidi="ar-SA"/>
          </w:rPr>
          <w:id w:val="52640731"/>
          <w:docPartObj>
            <w:docPartGallery w:val="Table of Contents"/>
            <w:docPartUnique/>
          </w:docPartObj>
        </w:sdtPr>
        <w:sdtEndPr>
          <w:rPr>
            <w:rFonts w:ascii="宋体" w:hAnsi="宋体" w:eastAsia="宋体" w:cstheme="minorBidi"/>
            <w:kern w:val="2"/>
            <w:sz w:val="20"/>
            <w:szCs w:val="20"/>
            <w:lang w:val="en-US" w:eastAsia="zh-CN" w:bidi="ar-SA"/>
          </w:rPr>
        </w:sdtEndPr>
        <w:sdtContent/>
      </w:sdt>
      <w:bookmarkStart w:id="31" w:name="_Toc1154891362_WPSOffice_Level1"/>
      <w:r>
        <w:rPr>
          <w:rFonts w:hint="eastAsia" w:ascii="黑体" w:hAnsi="黑体" w:eastAsia="黑体" w:cs="CESI黑体-GB2312"/>
          <w:b w:val="0"/>
          <w:sz w:val="36"/>
          <w:szCs w:val="36"/>
          <w:lang w:eastAsia="zh-CN"/>
        </w:rPr>
        <w:t>序</w:t>
      </w:r>
      <w:r>
        <w:rPr>
          <w:rFonts w:hint="eastAsia" w:ascii="黑体" w:hAnsi="黑体" w:eastAsia="黑体" w:cs="CESI黑体-GB2312"/>
          <w:b w:val="0"/>
          <w:sz w:val="36"/>
          <w:szCs w:val="36"/>
          <w:lang w:val="en-US" w:eastAsia="zh-CN"/>
        </w:rPr>
        <w:t xml:space="preserve"> </w:t>
      </w:r>
      <w:r>
        <w:rPr>
          <w:rFonts w:hint="eastAsia" w:ascii="黑体" w:hAnsi="黑体" w:eastAsia="黑体" w:cs="CESI黑体-GB2312"/>
          <w:b w:val="0"/>
          <w:sz w:val="36"/>
          <w:szCs w:val="36"/>
          <w:lang w:eastAsia="zh-CN"/>
        </w:rPr>
        <w:t>言</w:t>
      </w:r>
      <w:bookmarkEnd w:id="31"/>
    </w:p>
    <w:p>
      <w:pPr>
        <w:pStyle w:val="40"/>
        <w:keepNext w:val="0"/>
        <w:keepLines w:val="0"/>
        <w:pageBreakBefore w:val="0"/>
        <w:widowControl/>
        <w:tabs>
          <w:tab w:val="right" w:leader="dot" w:pos="8300"/>
        </w:tabs>
        <w:kinsoku/>
        <w:wordWrap/>
        <w:overflowPunct/>
        <w:topLinePunct w:val="0"/>
        <w:autoSpaceDE/>
        <w:autoSpaceDN/>
        <w:bidi w:val="0"/>
        <w:adjustRightInd/>
        <w:snapToGrid/>
        <w:spacing w:line="560" w:lineRule="exact"/>
        <w:jc w:val="center"/>
        <w:textAlignment w:val="auto"/>
        <w:rPr>
          <w:rFonts w:hint="eastAsia" w:ascii="黑体" w:hAnsi="黑体" w:eastAsia="黑体" w:cs="CESI黑体-GB2312"/>
          <w:b w:val="0"/>
          <w:sz w:val="36"/>
          <w:szCs w:val="36"/>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金融业作为从事资金融通和信用活动的产业，在现代经济中发挥着资金融通、资源配置、发现价格、管理风险等重要功能。做优做强金融业，对于保障、支撑、促进、引领新旧动能转换和地方经济转型升级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CESI仿宋-GB2312" w:hAnsi="CESI仿宋-GB2312" w:eastAsia="CESI仿宋-GB2312" w:cs="CESI仿宋-GB2312"/>
          <w:sz w:val="28"/>
          <w:szCs w:val="28"/>
        </w:rPr>
      </w:pPr>
      <w:r>
        <w:rPr>
          <w:rFonts w:hint="eastAsia" w:ascii="CESI仿宋-GB2312" w:hAnsi="CESI仿宋-GB2312" w:eastAsia="CESI仿宋-GB2312" w:cs="CESI仿宋-GB2312"/>
          <w:sz w:val="32"/>
          <w:szCs w:val="32"/>
        </w:rPr>
        <w:t>为深入贯彻落实习近平新时代中国特色社会主义思想和习近平总书记关于金融工作重要讲话</w:t>
      </w:r>
      <w:r>
        <w:rPr>
          <w:rFonts w:hint="eastAsia" w:ascii="CESI仿宋-GB2312" w:hAnsi="CESI仿宋-GB2312" w:eastAsia="CESI仿宋-GB2312" w:cs="CESI仿宋-GB2312"/>
          <w:sz w:val="32"/>
          <w:szCs w:val="32"/>
          <w:lang w:eastAsia="zh-CN"/>
        </w:rPr>
        <w:t>、重要指示批示</w:t>
      </w:r>
      <w:r>
        <w:rPr>
          <w:rFonts w:hint="eastAsia" w:ascii="CESI仿宋-GB2312" w:hAnsi="CESI仿宋-GB2312" w:eastAsia="CESI仿宋-GB2312" w:cs="CESI仿宋-GB2312"/>
          <w:sz w:val="32"/>
          <w:szCs w:val="32"/>
        </w:rPr>
        <w:t>精神，推动金融业更好服务</w:t>
      </w:r>
      <w:r>
        <w:rPr>
          <w:rFonts w:hint="eastAsia" w:ascii="CESI仿宋-GB2312" w:hAnsi="CESI仿宋-GB2312" w:eastAsia="CESI仿宋-GB2312" w:cs="CESI仿宋-GB2312"/>
          <w:sz w:val="32"/>
          <w:szCs w:val="32"/>
          <w:lang w:eastAsia="zh-CN"/>
        </w:rPr>
        <w:t>聊城经济社会</w:t>
      </w:r>
      <w:r>
        <w:rPr>
          <w:rFonts w:hint="eastAsia" w:ascii="CESI仿宋-GB2312" w:hAnsi="CESI仿宋-GB2312" w:eastAsia="CESI仿宋-GB2312" w:cs="CESI仿宋-GB2312"/>
          <w:sz w:val="32"/>
          <w:szCs w:val="32"/>
        </w:rPr>
        <w:t>高质量发展，</w:t>
      </w:r>
      <w:r>
        <w:rPr>
          <w:rFonts w:hint="eastAsia" w:ascii="CESI仿宋-GB2312" w:hAnsi="CESI仿宋-GB2312" w:eastAsia="CESI仿宋-GB2312" w:cs="CESI仿宋-GB2312"/>
          <w:sz w:val="32"/>
          <w:szCs w:val="32"/>
          <w:lang w:eastAsia="zh-CN"/>
        </w:rPr>
        <w:t>根</w:t>
      </w:r>
      <w:r>
        <w:rPr>
          <w:rFonts w:hint="eastAsia" w:ascii="CESI仿宋-GB2312" w:hAnsi="CESI仿宋-GB2312" w:eastAsia="CESI仿宋-GB2312" w:cs="CESI仿宋-GB2312"/>
          <w:sz w:val="32"/>
          <w:szCs w:val="32"/>
        </w:rPr>
        <w:t>据《中华人民共和国国民经济和社会发展第十四个五年规划和2035年远景目标纲要》《山东省国民经济和社会发展第十四个五年规划和2035年远景目标纲要》</w:t>
      </w:r>
      <w:bookmarkStart w:id="32" w:name="OLE_LINK4"/>
      <w:bookmarkStart w:id="33" w:name="OLE_LINK3"/>
      <w:r>
        <w:rPr>
          <w:rFonts w:hint="eastAsia" w:ascii="CESI仿宋-GB2312" w:hAnsi="CESI仿宋-GB2312" w:eastAsia="CESI仿宋-GB2312" w:cs="CESI仿宋-GB2312"/>
          <w:sz w:val="32"/>
          <w:szCs w:val="32"/>
        </w:rPr>
        <w:t>《聊城市国民经济和社会发展第十四个五年规划和2035远景目标纲要》</w:t>
      </w:r>
      <w:bookmarkEnd w:id="32"/>
      <w:bookmarkEnd w:id="33"/>
      <w:r>
        <w:rPr>
          <w:rFonts w:hint="eastAsia" w:ascii="CESI仿宋-GB2312" w:hAnsi="CESI仿宋-GB2312" w:eastAsia="CESI仿宋-GB2312" w:cs="CESI仿宋-GB2312"/>
          <w:sz w:val="32"/>
          <w:szCs w:val="32"/>
        </w:rPr>
        <w:t>《山东省“十四五”金融业发展规划》</w:t>
      </w:r>
      <w:r>
        <w:rPr>
          <w:rFonts w:hint="eastAsia" w:ascii="CESI仿宋-GB2312" w:hAnsi="CESI仿宋-GB2312" w:eastAsia="CESI仿宋-GB2312" w:cs="CESI仿宋-GB2312"/>
          <w:sz w:val="32"/>
          <w:szCs w:val="32"/>
          <w:lang w:eastAsia="zh-CN"/>
        </w:rPr>
        <w:t>，研究制定本</w:t>
      </w:r>
      <w:r>
        <w:rPr>
          <w:rFonts w:hint="eastAsia" w:ascii="CESI仿宋-GB2312" w:hAnsi="CESI仿宋-GB2312" w:eastAsia="CESI仿宋-GB2312" w:cs="CESI仿宋-GB2312"/>
          <w:sz w:val="32"/>
          <w:szCs w:val="32"/>
        </w:rPr>
        <w:t>规划</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阐明聊城市金融业发展战略的总体思路、路径选择、重点领域、主要任务和保障措施等，实施期限从2021年到2025年。</w:t>
      </w:r>
    </w:p>
    <w:p>
      <w:pPr>
        <w:pStyle w:val="3"/>
        <w:pageBreakBefore w:val="0"/>
        <w:widowControl w:val="0"/>
        <w:kinsoku/>
        <w:wordWrap/>
        <w:overflowPunct/>
        <w:topLinePunct w:val="0"/>
        <w:autoSpaceDE/>
        <w:autoSpaceDN/>
        <w:bidi w:val="0"/>
        <w:adjustRightInd/>
        <w:snapToGrid/>
        <w:spacing w:line="560" w:lineRule="exact"/>
        <w:jc w:val="center"/>
        <w:textAlignment w:val="auto"/>
        <w:rPr>
          <w:rFonts w:ascii="CESI仿宋-GB2312" w:hAnsi="CESI仿宋-GB2312" w:eastAsia="CESI仿宋-GB2312" w:cs="CESI仿宋-GB2312"/>
          <w:b w:val="0"/>
          <w:bCs w:val="0"/>
          <w:szCs w:val="28"/>
        </w:rPr>
        <w:sectPr>
          <w:footerReference r:id="rId8" w:type="default"/>
          <w:pgSz w:w="11900" w:h="16840"/>
          <w:pgMar w:top="1440" w:right="1800" w:bottom="1440" w:left="1800" w:header="851" w:footer="992" w:gutter="0"/>
          <w:cols w:space="425" w:num="1"/>
          <w:docGrid w:type="lines" w:linePitch="312" w:charSpace="0"/>
        </w:sectPr>
      </w:pPr>
      <w:bookmarkStart w:id="34" w:name="_Toc85389527"/>
    </w:p>
    <w:bookmarkEnd w:id="34"/>
    <w:p>
      <w:pPr>
        <w:pStyle w:val="3"/>
        <w:keepNext/>
        <w:keepLines/>
        <w:pageBreakBefore w:val="0"/>
        <w:widowControl w:val="0"/>
        <w:numPr>
          <w:ilvl w:val="0"/>
          <w:numId w:val="1"/>
        </w:numPr>
        <w:kinsoku/>
        <w:wordWrap/>
        <w:overflowPunct/>
        <w:topLinePunct w:val="0"/>
        <w:autoSpaceDE/>
        <w:autoSpaceDN/>
        <w:bidi w:val="0"/>
        <w:adjustRightInd/>
        <w:snapToGrid/>
        <w:spacing w:line="560" w:lineRule="exact"/>
        <w:ind w:left="720" w:leftChars="0" w:firstLine="0" w:firstLineChars="0"/>
        <w:jc w:val="both"/>
        <w:textAlignment w:val="auto"/>
        <w:rPr>
          <w:rFonts w:hint="eastAsia" w:ascii="黑体" w:hAnsi="黑体" w:eastAsia="黑体" w:cs="CESI黑体-GB2312"/>
          <w:b w:val="0"/>
          <w:sz w:val="36"/>
          <w:szCs w:val="36"/>
        </w:rPr>
      </w:pPr>
      <w:bookmarkStart w:id="35" w:name="_Toc85389534"/>
      <w:r>
        <w:rPr>
          <w:rFonts w:hint="eastAsia" w:ascii="黑体" w:hAnsi="黑体" w:eastAsia="黑体" w:cs="CESI黑体-GB2312"/>
          <w:b w:val="0"/>
          <w:sz w:val="36"/>
          <w:szCs w:val="36"/>
          <w:lang w:val="en-US" w:eastAsia="zh-CN"/>
        </w:rPr>
        <w:t xml:space="preserve"> </w:t>
      </w:r>
      <w:bookmarkStart w:id="36" w:name="_Toc849758390_WPSOffice_Level1"/>
      <w:r>
        <w:rPr>
          <w:rFonts w:hint="eastAsia" w:ascii="黑体" w:hAnsi="黑体" w:eastAsia="黑体" w:cs="CESI黑体-GB2312"/>
          <w:b w:val="0"/>
          <w:sz w:val="36"/>
          <w:szCs w:val="36"/>
        </w:rPr>
        <w:t>聊城市金融业发展基础和环境</w:t>
      </w:r>
      <w:bookmarkEnd w:id="36"/>
    </w:p>
    <w:p>
      <w:pPr>
        <w:numPr>
          <w:ilvl w:val="0"/>
          <w:numId w:val="0"/>
        </w:numPr>
        <w:ind w:left="720" w:leftChars="0"/>
      </w:pPr>
    </w:p>
    <w:p>
      <w:pPr>
        <w:keepNext/>
        <w:keepLines/>
        <w:pageBreakBefore w:val="0"/>
        <w:widowControl w:val="0"/>
        <w:numPr>
          <w:ilvl w:val="0"/>
          <w:numId w:val="2"/>
        </w:numPr>
        <w:kinsoku/>
        <w:wordWrap/>
        <w:overflowPunct/>
        <w:topLinePunct w:val="0"/>
        <w:autoSpaceDE/>
        <w:autoSpaceDN/>
        <w:bidi w:val="0"/>
        <w:adjustRightInd/>
        <w:snapToGrid/>
        <w:spacing w:before="0" w:after="0" w:line="600" w:lineRule="exact"/>
        <w:ind w:firstLine="640" w:firstLineChars="200"/>
        <w:jc w:val="center"/>
        <w:textAlignment w:val="auto"/>
        <w:outlineLvl w:val="0"/>
        <w:rPr>
          <w:rFonts w:hint="eastAsia" w:ascii="黑体" w:hAnsi="黑体" w:eastAsia="黑体" w:cs="黑体"/>
          <w:b w:val="0"/>
          <w:bCs w:val="0"/>
          <w:snapToGrid w:val="0"/>
          <w:kern w:val="0"/>
          <w:sz w:val="32"/>
          <w:szCs w:val="32"/>
          <w:lang w:val="en-US" w:eastAsia="zh-CN" w:bidi="ar-SA"/>
        </w:rPr>
      </w:pPr>
      <w:bookmarkStart w:id="37" w:name="_Toc85389528"/>
      <w:r>
        <w:rPr>
          <w:rFonts w:hint="eastAsia" w:ascii="黑体" w:hAnsi="黑体" w:eastAsia="黑体" w:cs="黑体"/>
          <w:b w:val="0"/>
          <w:bCs w:val="0"/>
          <w:snapToGrid w:val="0"/>
          <w:kern w:val="0"/>
          <w:sz w:val="32"/>
          <w:szCs w:val="32"/>
          <w:lang w:val="en-US" w:eastAsia="zh-CN" w:bidi="ar-SA"/>
        </w:rPr>
        <w:t xml:space="preserve"> </w:t>
      </w:r>
      <w:bookmarkStart w:id="38" w:name="_Toc349845763_WPSOffice_Level2"/>
      <w:r>
        <w:rPr>
          <w:rFonts w:hint="eastAsia" w:ascii="黑体" w:hAnsi="黑体" w:eastAsia="黑体" w:cs="黑体"/>
          <w:b w:val="0"/>
          <w:bCs w:val="0"/>
          <w:snapToGrid w:val="0"/>
          <w:kern w:val="0"/>
          <w:sz w:val="32"/>
          <w:szCs w:val="32"/>
          <w:lang w:val="en-US" w:eastAsia="zh-CN" w:bidi="ar-SA"/>
        </w:rPr>
        <w:t>“十三五”时期金融业发展回顾</w:t>
      </w:r>
      <w:bookmarkEnd w:id="38"/>
    </w:p>
    <w:p>
      <w:pPr>
        <w:pStyle w:val="5"/>
        <w:numPr>
          <w:ilvl w:val="0"/>
          <w:numId w:val="0"/>
        </w:numPr>
        <w:rPr>
          <w:lang w:val="en-US" w:eastAsia="zh-CN"/>
        </w:rPr>
      </w:pPr>
    </w:p>
    <w:bookmarkEnd w:id="37"/>
    <w:p>
      <w:pPr>
        <w:pStyle w:val="4"/>
        <w:keepNext/>
        <w:keepLines/>
        <w:pageBreakBefore w:val="0"/>
        <w:widowControl w:val="0"/>
        <w:kinsoku/>
        <w:wordWrap/>
        <w:overflowPunct/>
        <w:topLinePunct w:val="0"/>
        <w:autoSpaceDE/>
        <w:autoSpaceDN/>
        <w:bidi w:val="0"/>
        <w:adjustRightInd/>
        <w:snapToGrid/>
        <w:spacing w:line="600" w:lineRule="exact"/>
        <w:ind w:firstLine="640"/>
        <w:jc w:val="both"/>
        <w:textAlignment w:val="auto"/>
        <w:rPr>
          <w:rFonts w:ascii="CESI仿宋-GB2312" w:hAnsi="CESI仿宋-GB2312" w:eastAsia="CESI仿宋-GB2312" w:cs="CESI仿宋-GB2312"/>
          <w:b w:val="0"/>
          <w:bCs w:val="0"/>
          <w:sz w:val="32"/>
          <w:szCs w:val="32"/>
        </w:rPr>
      </w:pPr>
      <w:bookmarkStart w:id="39" w:name="_Toc85389529"/>
      <w:r>
        <w:rPr>
          <w:rFonts w:hint="eastAsia" w:ascii="楷体" w:hAnsi="楷体" w:eastAsia="楷体" w:cs="CESI楷体-GB2312"/>
          <w:b w:val="0"/>
          <w:sz w:val="32"/>
          <w:szCs w:val="32"/>
        </w:rPr>
        <w:t>（一）金融业总体规模不断扩大</w:t>
      </w:r>
      <w:bookmarkEnd w:id="39"/>
      <w:r>
        <w:rPr>
          <w:rFonts w:hint="eastAsia" w:ascii="楷体" w:hAnsi="楷体" w:eastAsia="楷体" w:cs="CESI楷体-GB2312"/>
          <w:b w:val="0"/>
          <w:sz w:val="32"/>
          <w:szCs w:val="32"/>
        </w:rPr>
        <w:t>。</w:t>
      </w:r>
      <w:r>
        <w:rPr>
          <w:rFonts w:hint="eastAsia" w:ascii="仿宋_GB2312" w:eastAsia="仿宋_GB2312" w:cs="Times New Roman" w:hAnsiTheme="minorHAnsi"/>
          <w:b w:val="0"/>
          <w:bCs w:val="0"/>
          <w:i w:val="0"/>
          <w:iCs w:val="0"/>
          <w:color w:val="000000"/>
          <w:kern w:val="2"/>
          <w:sz w:val="32"/>
          <w:szCs w:val="32"/>
          <w:lang w:val="en-US" w:eastAsia="zh-CN" w:bidi="ar-SA"/>
        </w:rPr>
        <w:t>金融在全市经济发展中的支撑和保障作用进一步显现，占GDP的比重和对地方经济发展的贡献度不断提高，已发展成为我市重要产业。2020年，全市金融业增加值达到155.83亿元，“十三五”期间年均增长7.63%；占地区生产总值的比重达到6.7%、比2015年提高2.65个百分点，占服务业增加值的比重达到13.1%、比2015年提高2.17个百分点。2020年末，全市社会融资规模存量达到4385.38亿元；全市金融业实现税收收入17.48亿元，占全市税收收入的十二分之一。金融从业人员稳定在5万人左右，成为全社会稳就业的重要力量。</w:t>
      </w:r>
    </w:p>
    <w:p>
      <w:pPr>
        <w:autoSpaceDE w:val="0"/>
        <w:autoSpaceDN w:val="0"/>
        <w:adjustRightInd w:val="0"/>
        <w:spacing w:line="360" w:lineRule="auto"/>
        <w:jc w:val="left"/>
        <w:rPr>
          <w:rFonts w:ascii="仿宋" w:hAnsi="仿宋" w:eastAsia="仿宋" w:cs="Helvetica"/>
          <w:color w:val="000000"/>
          <w:kern w:val="0"/>
          <w:sz w:val="28"/>
          <w:szCs w:val="28"/>
        </w:rPr>
      </w:pPr>
      <w:r>
        <w:rPr>
          <w:rFonts w:ascii="仿宋" w:hAnsi="仿宋" w:eastAsia="仿宋"/>
          <w:sz w:val="28"/>
          <w:szCs w:val="28"/>
        </w:rPr>
        <w:drawing>
          <wp:inline distT="0" distB="0" distL="114300" distR="114300">
            <wp:extent cx="5266055" cy="3033395"/>
            <wp:effectExtent l="4445" t="4445" r="6350" b="10160"/>
            <wp:docPr id="10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4"/>
        <w:keepNext/>
        <w:keepLines/>
        <w:pageBreakBefore w:val="0"/>
        <w:widowControl w:val="0"/>
        <w:kinsoku/>
        <w:wordWrap/>
        <w:overflowPunct/>
        <w:topLinePunct w:val="0"/>
        <w:autoSpaceDE/>
        <w:autoSpaceDN/>
        <w:bidi w:val="0"/>
        <w:adjustRightInd/>
        <w:snapToGrid/>
        <w:spacing w:line="600" w:lineRule="exact"/>
        <w:jc w:val="both"/>
        <w:textAlignment w:val="auto"/>
        <w:rPr>
          <w:rFonts w:ascii="仿宋" w:hAnsi="仿宋" w:eastAsia="仿宋" w:cs="仿宋"/>
          <w:b w:val="0"/>
          <w:bCs w:val="0"/>
          <w:sz w:val="32"/>
          <w:szCs w:val="32"/>
        </w:rPr>
      </w:pPr>
      <w:bookmarkStart w:id="40" w:name="_Toc85389530"/>
      <w:r>
        <w:rPr>
          <w:rFonts w:hint="eastAsia" w:ascii="楷体" w:hAnsi="楷体" w:eastAsia="楷体" w:cs="CESI楷体-GB2312"/>
          <w:b w:val="0"/>
          <w:sz w:val="32"/>
          <w:szCs w:val="32"/>
          <w:lang w:eastAsia="zh-CN"/>
        </w:rPr>
        <w:t>（</w:t>
      </w:r>
      <w:r>
        <w:rPr>
          <w:rFonts w:hint="eastAsia" w:ascii="楷体" w:hAnsi="楷体" w:eastAsia="楷体" w:cs="CESI楷体-GB2312"/>
          <w:b w:val="0"/>
          <w:sz w:val="32"/>
          <w:szCs w:val="32"/>
        </w:rPr>
        <w:t>二）金融组织体系日趋完善</w:t>
      </w:r>
      <w:bookmarkEnd w:id="40"/>
      <w:r>
        <w:rPr>
          <w:rFonts w:hint="eastAsia" w:ascii="楷体" w:hAnsi="楷体" w:eastAsia="楷体" w:cs="CESI楷体-GB2312"/>
          <w:b w:val="0"/>
          <w:sz w:val="32"/>
          <w:szCs w:val="32"/>
        </w:rPr>
        <w:t>。</w:t>
      </w:r>
      <w:r>
        <w:rPr>
          <w:rFonts w:hint="eastAsia" w:ascii="仿宋_GB2312" w:eastAsia="仿宋_GB2312" w:cs="Times New Roman" w:hAnsiTheme="minorHAnsi"/>
          <w:b w:val="0"/>
          <w:bCs w:val="0"/>
          <w:i w:val="0"/>
          <w:iCs w:val="0"/>
          <w:color w:val="000000"/>
          <w:kern w:val="2"/>
          <w:sz w:val="32"/>
          <w:szCs w:val="32"/>
          <w:lang w:val="en-US" w:eastAsia="zh-CN" w:bidi="ar-SA"/>
        </w:rPr>
        <w:t>金融机构类别和数量不断增加，形成了以银行、证券、保险机构为主体，其他金融机构和组织为补充，覆盖全市的金融服务体系。“十三五”期间，共有威海银行、民生银行、光大银行、日照银行、济宁银行、光大证券、安信证券、安邦人寿、中煤财险等26家金融机构先后在我市设立分支机构，市级银行业机构达到23家，保险公司达到56家，证券公司达到14家。地方金融组织健康发展，2020年末全市共有小额贷款公司17家、民间融资机构15家、融资担保机构14家、典当行8家，日渐成为金融体系的重要组成部分。</w:t>
      </w:r>
    </w:p>
    <w:p>
      <w:pPr>
        <w:spacing w:line="360" w:lineRule="auto"/>
        <w:rPr>
          <w:rFonts w:ascii="仿宋" w:hAnsi="仿宋" w:eastAsia="仿宋"/>
          <w:sz w:val="28"/>
          <w:szCs w:val="28"/>
        </w:rPr>
      </w:pPr>
      <w:r>
        <w:rPr>
          <w:rFonts w:ascii="仿宋" w:hAnsi="仿宋" w:eastAsia="仿宋"/>
          <w:sz w:val="28"/>
          <w:szCs w:val="28"/>
        </w:rPr>
        <w:drawing>
          <wp:inline distT="0" distB="0" distL="114300" distR="114300">
            <wp:extent cx="5270500" cy="2794000"/>
            <wp:effectExtent l="4445" t="4445" r="20955" b="209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仿宋" w:hAnsi="仿宋" w:eastAsia="仿宋" w:cs="仿宋_GB2312"/>
          <w:sz w:val="28"/>
          <w:szCs w:val="28"/>
        </w:rPr>
        <w:drawing>
          <wp:inline distT="0" distB="0" distL="114300" distR="114300">
            <wp:extent cx="5270500" cy="2938780"/>
            <wp:effectExtent l="0" t="0" r="6350" b="13970"/>
            <wp:docPr id="3" name="图片 3"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true"/>
                    </pic:cNvPicPr>
                  </pic:nvPicPr>
                  <pic:blipFill>
                    <a:blip r:embed="rId13"/>
                    <a:stretch>
                      <a:fillRect/>
                    </a:stretch>
                  </pic:blipFill>
                  <pic:spPr>
                    <a:xfrm>
                      <a:off x="0" y="0"/>
                      <a:ext cx="5270500" cy="2938780"/>
                    </a:xfrm>
                    <a:prstGeom prst="rect">
                      <a:avLst/>
                    </a:prstGeom>
                  </pic:spPr>
                </pic:pic>
              </a:graphicData>
            </a:graphic>
          </wp:inline>
        </w:drawing>
      </w:r>
    </w:p>
    <w:p>
      <w:pPr>
        <w:spacing w:line="360" w:lineRule="auto"/>
        <w:rPr>
          <w:rFonts w:ascii="仿宋" w:hAnsi="仿宋" w:eastAsia="仿宋"/>
          <w:sz w:val="28"/>
          <w:szCs w:val="28"/>
        </w:rPr>
      </w:pPr>
    </w:p>
    <w:p>
      <w:pPr>
        <w:pStyle w:val="4"/>
        <w:pageBreakBefore w:val="0"/>
        <w:widowControl w:val="0"/>
        <w:kinsoku/>
        <w:wordWrap/>
        <w:overflowPunct/>
        <w:topLinePunct w:val="0"/>
        <w:autoSpaceDE/>
        <w:autoSpaceDN/>
        <w:bidi w:val="0"/>
        <w:adjustRightInd/>
        <w:snapToGrid/>
        <w:spacing w:line="600" w:lineRule="exact"/>
        <w:ind w:firstLine="640"/>
        <w:textAlignment w:val="auto"/>
        <w:rPr>
          <w:rFonts w:ascii="楷体" w:hAnsi="楷体" w:eastAsia="楷体" w:cs="CESI楷体-GB2312"/>
          <w:b w:val="0"/>
          <w:sz w:val="32"/>
          <w:szCs w:val="32"/>
        </w:rPr>
      </w:pPr>
      <w:bookmarkStart w:id="41" w:name="_Toc85389531"/>
      <w:r>
        <w:rPr>
          <w:rFonts w:hint="eastAsia" w:ascii="楷体" w:hAnsi="楷体" w:eastAsia="楷体" w:cs="CESI楷体-GB2312"/>
          <w:b w:val="0"/>
          <w:sz w:val="32"/>
          <w:szCs w:val="32"/>
        </w:rPr>
        <w:t>（三）主要金融指标增势良好</w:t>
      </w:r>
      <w:bookmarkEnd w:id="41"/>
      <w:r>
        <w:rPr>
          <w:rFonts w:hint="eastAsia" w:ascii="楷体" w:hAnsi="楷体" w:eastAsia="楷体" w:cs="CESI楷体-GB2312"/>
          <w:b w:val="0"/>
          <w:sz w:val="32"/>
          <w:szCs w:val="32"/>
        </w:rPr>
        <w:t>。</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——银行业方面：</w:t>
      </w:r>
      <w:r>
        <w:rPr>
          <w:rFonts w:hint="eastAsia" w:ascii="仿宋_GB2312" w:eastAsia="仿宋_GB2312" w:cs="Times New Roman" w:hAnsiTheme="minorHAnsi"/>
          <w:b w:val="0"/>
          <w:bCs w:val="0"/>
          <w:i w:val="0"/>
          <w:iCs w:val="0"/>
          <w:color w:val="000000"/>
          <w:kern w:val="2"/>
          <w:sz w:val="32"/>
          <w:szCs w:val="32"/>
          <w:lang w:val="en-US" w:eastAsia="zh-CN" w:bidi="ar-SA"/>
        </w:rPr>
        <w:t>存贷款保持较快增长。截至2020年末，全市金融机构本外币存款余额4366.3亿元，贷款余额2885.8亿元，分别是2015年末的1.7倍和1.5倍。贷款利率全面下降，全市贷款加权平均利率6.11%，同比下降0.48个百分点，较2019年7月份改革前下降0.51个百分点。其中，企业贷款平均利率5.26%，同比下降0.42个百分点；新发放普惠小微企业贷款平均利率6.41%，同比下降0.82个百分点。</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——保险业方面：</w:t>
      </w:r>
      <w:r>
        <w:rPr>
          <w:rFonts w:hint="eastAsia" w:ascii="仿宋_GB2312" w:eastAsia="仿宋_GB2312" w:cs="Times New Roman" w:hAnsiTheme="minorHAnsi"/>
          <w:b w:val="0"/>
          <w:bCs w:val="0"/>
          <w:i w:val="0"/>
          <w:iCs w:val="0"/>
          <w:color w:val="000000"/>
          <w:kern w:val="2"/>
          <w:sz w:val="32"/>
          <w:szCs w:val="32"/>
          <w:lang w:val="en-US" w:eastAsia="zh-CN" w:bidi="ar-SA"/>
        </w:rPr>
        <w:t>保险“稳定器”和“助推器”作用有效发挥。2020年，全市实现保费收入129.12亿元，是2015年的1.73倍，保险赔付支出39.91亿元，承担各类风险责任7.22万亿元。</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——证券及资本市场方面：</w:t>
      </w:r>
      <w:r>
        <w:rPr>
          <w:rFonts w:hint="eastAsia" w:ascii="仿宋_GB2312" w:eastAsia="仿宋_GB2312" w:cs="Times New Roman" w:hAnsiTheme="minorHAnsi"/>
          <w:b w:val="0"/>
          <w:bCs w:val="0"/>
          <w:i w:val="0"/>
          <w:iCs w:val="0"/>
          <w:color w:val="000000"/>
          <w:kern w:val="2"/>
          <w:sz w:val="32"/>
          <w:szCs w:val="32"/>
          <w:lang w:val="en-US" w:eastAsia="zh-CN" w:bidi="ar-SA"/>
        </w:rPr>
        <w:t>多层次资本市场加速发展。山东凤祥股份在港交所成功上市，全市境内外上市公司数量达到5家（主板市场3家、创业板1家、境外上市1家），总市值达到718亿元。嘉华股份、乖宝宠物等3家企业正在山东证监局辅导备案，数量为历年来最多。2020年全市实现直接融资额169.16亿元，是2015年的1.9倍。</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——地方金融方面：</w:t>
      </w:r>
      <w:r>
        <w:rPr>
          <w:rFonts w:hint="eastAsia" w:ascii="仿宋_GB2312" w:eastAsia="仿宋_GB2312" w:cs="Times New Roman" w:hAnsiTheme="minorHAnsi"/>
          <w:b w:val="0"/>
          <w:bCs w:val="0"/>
          <w:i w:val="0"/>
          <w:iCs w:val="0"/>
          <w:color w:val="000000"/>
          <w:kern w:val="2"/>
          <w:sz w:val="32"/>
          <w:szCs w:val="32"/>
          <w:lang w:val="en-US" w:eastAsia="zh-CN" w:bidi="ar-SA"/>
        </w:rPr>
        <w:t>2020年，全市共有小额贷款公司、融资性担保机构、典当行等54家地方金融组织，注册资本共计69.25亿元，为企业等各类经济主体提供贷款、投资、担保等各类融资支持达78.57亿元，日渐成为金融体系的重要组成部分，有力支持我市“三农”和小微企业发展。</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bookmarkStart w:id="42" w:name="_Toc85389532"/>
      <w:r>
        <w:rPr>
          <w:rFonts w:hint="eastAsia" w:ascii="楷体" w:hAnsi="楷体" w:eastAsia="楷体" w:cs="CESI楷体-GB2312"/>
          <w:sz w:val="32"/>
          <w:szCs w:val="32"/>
        </w:rPr>
        <w:t>（四）金融改革创新深入推进</w:t>
      </w:r>
      <w:bookmarkEnd w:id="42"/>
      <w:r>
        <w:rPr>
          <w:rFonts w:hint="eastAsia" w:ascii="楷体" w:hAnsi="楷体" w:eastAsia="楷体" w:cs="CESI楷体-GB2312"/>
          <w:sz w:val="32"/>
          <w:szCs w:val="32"/>
        </w:rPr>
        <w:t>。</w:t>
      </w:r>
      <w:r>
        <w:rPr>
          <w:rFonts w:hint="eastAsia" w:ascii="仿宋_GB2312" w:eastAsia="仿宋_GB2312" w:cs="Times New Roman" w:hAnsiTheme="minorHAnsi"/>
          <w:b w:val="0"/>
          <w:bCs w:val="0"/>
          <w:i w:val="0"/>
          <w:iCs w:val="0"/>
          <w:color w:val="000000"/>
          <w:kern w:val="2"/>
          <w:sz w:val="32"/>
          <w:szCs w:val="32"/>
          <w:lang w:val="en-US" w:eastAsia="zh-CN" w:bidi="ar-SA"/>
        </w:rPr>
        <w:t>山东凤祥股份在港交所成功上市，结束了我市近十年来没有新增上市公司的历史。出台《关于加快聊城市金融产业高质量发展的意见》，制定促进各类金融机构集聚发展等</w:t>
      </w:r>
      <w:r>
        <w:rPr>
          <w:rFonts w:hint="eastAsia" w:ascii="仿宋_GB2312" w:eastAsia="仿宋_GB2312" w:cs="Times New Roman"/>
          <w:b w:val="0"/>
          <w:bCs w:val="0"/>
          <w:i w:val="0"/>
          <w:iCs w:val="0"/>
          <w:color w:val="000000"/>
          <w:kern w:val="2"/>
          <w:sz w:val="32"/>
          <w:szCs w:val="32"/>
          <w:lang w:val="en-US" w:eastAsia="zh-CN" w:bidi="ar-SA"/>
        </w:rPr>
        <w:t>“</w:t>
      </w:r>
      <w:r>
        <w:rPr>
          <w:rFonts w:hint="eastAsia" w:ascii="仿宋_GB2312" w:eastAsia="仿宋_GB2312" w:cs="Times New Roman" w:hAnsiTheme="minorHAnsi"/>
          <w:b w:val="0"/>
          <w:bCs w:val="0"/>
          <w:i w:val="0"/>
          <w:iCs w:val="0"/>
          <w:color w:val="000000"/>
          <w:kern w:val="2"/>
          <w:sz w:val="32"/>
          <w:szCs w:val="32"/>
          <w:lang w:val="en-US" w:eastAsia="zh-CN" w:bidi="ar-SA"/>
        </w:rPr>
        <w:t>七大板块</w:t>
      </w:r>
      <w:r>
        <w:rPr>
          <w:rFonts w:hint="eastAsia" w:ascii="仿宋_GB2312" w:eastAsia="仿宋_GB2312" w:cs="Times New Roman"/>
          <w:b w:val="0"/>
          <w:bCs w:val="0"/>
          <w:i w:val="0"/>
          <w:iCs w:val="0"/>
          <w:color w:val="000000"/>
          <w:kern w:val="2"/>
          <w:sz w:val="32"/>
          <w:szCs w:val="32"/>
          <w:lang w:val="en-US" w:eastAsia="zh-CN" w:bidi="ar-SA"/>
        </w:rPr>
        <w:t>”</w:t>
      </w:r>
      <w:r>
        <w:rPr>
          <w:rFonts w:hint="eastAsia" w:ascii="仿宋_GB2312" w:eastAsia="仿宋_GB2312" w:cs="Times New Roman" w:hAnsiTheme="minorHAnsi"/>
          <w:b w:val="0"/>
          <w:bCs w:val="0"/>
          <w:i w:val="0"/>
          <w:iCs w:val="0"/>
          <w:color w:val="000000"/>
          <w:kern w:val="2"/>
          <w:sz w:val="32"/>
          <w:szCs w:val="32"/>
          <w:lang w:val="en-US" w:eastAsia="zh-CN" w:bidi="ar-SA"/>
        </w:rPr>
        <w:t>支持政策，为金融产业发展奠定良好政策基础。“金融工作日”“金融大集”“金融超市”等新型银企对接不断呈现，政金企多方沟通和信息共享不断加深。认真贯彻落实扶贫小额信贷、扶贫贴息贷款等金融扶贫政策，选派爱农村、爱农民、懂农业的金融干部到乡镇挂职，创新推出“西瓜贷”“养羊贷”等新型金融产品，金融扶贫</w:t>
      </w:r>
      <w:r>
        <w:rPr>
          <w:rFonts w:hint="eastAsia" w:ascii="仿宋_GB2312" w:eastAsia="仿宋_GB2312" w:cs="Times New Roman"/>
          <w:b w:val="0"/>
          <w:bCs w:val="0"/>
          <w:i w:val="0"/>
          <w:iCs w:val="0"/>
          <w:color w:val="000000"/>
          <w:kern w:val="2"/>
          <w:sz w:val="32"/>
          <w:szCs w:val="32"/>
          <w:lang w:val="en-US" w:eastAsia="zh-CN" w:bidi="ar-SA"/>
        </w:rPr>
        <w:t>更加</w:t>
      </w:r>
      <w:r>
        <w:rPr>
          <w:rFonts w:hint="eastAsia" w:ascii="仿宋_GB2312" w:eastAsia="仿宋_GB2312" w:cs="Times New Roman" w:hAnsiTheme="minorHAnsi"/>
          <w:b w:val="0"/>
          <w:bCs w:val="0"/>
          <w:i w:val="0"/>
          <w:iCs w:val="0"/>
          <w:color w:val="000000"/>
          <w:kern w:val="2"/>
          <w:sz w:val="32"/>
          <w:szCs w:val="32"/>
          <w:lang w:val="en-US" w:eastAsia="zh-CN" w:bidi="ar-SA"/>
        </w:rPr>
        <w:t>精准</w:t>
      </w:r>
      <w:r>
        <w:rPr>
          <w:rFonts w:hint="eastAsia" w:ascii="仿宋_GB2312" w:eastAsia="仿宋_GB2312" w:cs="Times New Roman"/>
          <w:b w:val="0"/>
          <w:bCs w:val="0"/>
          <w:i w:val="0"/>
          <w:iCs w:val="0"/>
          <w:color w:val="000000"/>
          <w:kern w:val="2"/>
          <w:sz w:val="32"/>
          <w:szCs w:val="32"/>
          <w:lang w:val="en-US" w:eastAsia="zh-CN" w:bidi="ar-SA"/>
        </w:rPr>
        <w:t>高效</w:t>
      </w:r>
      <w:r>
        <w:rPr>
          <w:rFonts w:hint="eastAsia" w:ascii="仿宋_GB2312" w:eastAsia="仿宋_GB2312" w:cs="Times New Roman" w:hAnsiTheme="minorHAnsi"/>
          <w:b w:val="0"/>
          <w:bCs w:val="0"/>
          <w:i w:val="0"/>
          <w:iCs w:val="0"/>
          <w:color w:val="000000"/>
          <w:kern w:val="2"/>
          <w:sz w:val="32"/>
          <w:szCs w:val="32"/>
          <w:lang w:val="en-US" w:eastAsia="zh-CN" w:bidi="ar-SA"/>
        </w:rPr>
        <w:t>。深入贯彻落实“人才贷”</w:t>
      </w:r>
      <w:r>
        <w:rPr>
          <w:rFonts w:hint="eastAsia" w:ascii="仿宋_GB2312" w:eastAsia="仿宋_GB2312" w:cs="Times New Roman"/>
          <w:b w:val="0"/>
          <w:bCs w:val="0"/>
          <w:i w:val="0"/>
          <w:iCs w:val="0"/>
          <w:color w:val="000000"/>
          <w:kern w:val="2"/>
          <w:sz w:val="32"/>
          <w:szCs w:val="32"/>
          <w:lang w:val="en-US" w:eastAsia="zh-CN" w:bidi="ar-SA"/>
        </w:rPr>
        <w:t>等</w:t>
      </w:r>
      <w:r>
        <w:rPr>
          <w:rFonts w:hint="eastAsia" w:ascii="仿宋_GB2312" w:eastAsia="仿宋_GB2312" w:cs="Times New Roman" w:hAnsiTheme="minorHAnsi"/>
          <w:b w:val="0"/>
          <w:bCs w:val="0"/>
          <w:i w:val="0"/>
          <w:iCs w:val="0"/>
          <w:color w:val="000000"/>
          <w:kern w:val="2"/>
          <w:sz w:val="32"/>
          <w:szCs w:val="32"/>
          <w:lang w:val="en-US" w:eastAsia="zh-CN" w:bidi="ar-SA"/>
        </w:rPr>
        <w:t>政策，首笔“人才贷”业务在我市落地，贷款余额超亿元，有力的支持了高层次人才和其长期所在企业的科技创新创业活动。大力推动数字化普惠金融平台建设，成立聊城市智慧金融服务平台，</w:t>
      </w:r>
      <w:r>
        <w:rPr>
          <w:rFonts w:hint="eastAsia" w:ascii="仿宋_GB2312" w:hAnsi="仿宋_GB2312" w:eastAsia="仿宋_GB2312" w:cs="仿宋_GB2312"/>
          <w:color w:val="000000"/>
          <w:kern w:val="0"/>
          <w:sz w:val="32"/>
          <w:szCs w:val="32"/>
          <w:lang w:eastAsia="zh-CN" w:bidi="ar"/>
        </w:rPr>
        <w:t>实现企业需求与金融资源的无缝对接。</w:t>
      </w:r>
      <w:r>
        <w:rPr>
          <w:rFonts w:hint="eastAsia" w:ascii="仿宋_GB2312" w:eastAsia="仿宋_GB2312" w:cs="Times New Roman" w:hAnsiTheme="minorHAnsi"/>
          <w:b w:val="0"/>
          <w:bCs w:val="0"/>
          <w:i w:val="0"/>
          <w:iCs w:val="0"/>
          <w:color w:val="000000"/>
          <w:kern w:val="2"/>
          <w:sz w:val="32"/>
          <w:szCs w:val="32"/>
          <w:lang w:val="en-US" w:eastAsia="zh-CN" w:bidi="ar-SA"/>
        </w:rPr>
        <w:t>深入实施金融辅导员制度，组建金融辅导队，精准开展辅导对接活动，在全省金融辅导工作核查评比中获评“优秀”等次。</w:t>
      </w:r>
    </w:p>
    <w:p>
      <w:pPr>
        <w:pStyle w:val="4"/>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bookmarkStart w:id="43" w:name="_Toc85389533"/>
      <w:r>
        <w:rPr>
          <w:rFonts w:hint="eastAsia" w:ascii="楷体" w:hAnsi="楷体" w:eastAsia="楷体" w:cs="CESI楷体-GB2312"/>
          <w:b w:val="0"/>
          <w:sz w:val="32"/>
          <w:szCs w:val="32"/>
        </w:rPr>
        <w:t>（五）防范化解金融风险取得重要成果</w:t>
      </w:r>
      <w:bookmarkEnd w:id="43"/>
      <w:r>
        <w:rPr>
          <w:rFonts w:hint="eastAsia" w:ascii="楷体" w:hAnsi="楷体" w:eastAsia="楷体" w:cs="CESI楷体-GB2312"/>
          <w:b w:val="0"/>
          <w:sz w:val="32"/>
          <w:szCs w:val="32"/>
        </w:rPr>
        <w:t>。</w:t>
      </w:r>
      <w:r>
        <w:rPr>
          <w:rFonts w:hint="eastAsia" w:ascii="仿宋_GB2312" w:eastAsia="仿宋_GB2312" w:cs="Times New Roman" w:hAnsiTheme="minorHAnsi"/>
          <w:b w:val="0"/>
          <w:bCs w:val="0"/>
          <w:i w:val="0"/>
          <w:iCs w:val="0"/>
          <w:color w:val="000000"/>
          <w:kern w:val="2"/>
          <w:sz w:val="32"/>
          <w:szCs w:val="32"/>
          <w:lang w:val="en-US" w:eastAsia="zh-CN" w:bidi="ar-SA"/>
        </w:rPr>
        <w:t>坚持高位推动、多方协同。成立由市长任组长的聊城市金融稳定发展领导小组，统筹指导和推动全市重大金融风险防范化解工作。坚持完善机制、长效推进。出台了《聊城市金融突发事件应急预案》《聊城市企业担保圈风险防控处置工作方案》《聊城市非法集资案件举报奖励办法》等系列政策文件，构建金融风险防范化解长效机制。坚持突出重点、分类推进。不良贷款处置成效明显，2018年以来不良率大幅下降。扎实推进重点企业、地方法人银行风险化解，金融风险有效稳控。扎实开展“扫黑除恶”斗争金融放贷行业领域专项整治，坚持做好打击恶意逃废债和打击非法集资“两打”工作，地方金融生态环境持续改善。市县两级地方金融管理部门有序承接地方金融组织监管职责，聊城市地方金融监测服务中心挂牌成立，地方金融监管体系架构更加完善。</w:t>
      </w:r>
    </w:p>
    <w:p>
      <w:pPr>
        <w:rPr>
          <w:rFonts w:hint="eastAsia"/>
          <w:lang w:val="en-US" w:eastAsia="zh-CN"/>
        </w:rPr>
      </w:pPr>
    </w:p>
    <w:p/>
    <w:p>
      <w:pPr>
        <w:keepNext/>
        <w:keepLines/>
        <w:pageBreakBefore w:val="0"/>
        <w:widowControl w:val="0"/>
        <w:numPr>
          <w:ilvl w:val="0"/>
          <w:numId w:val="2"/>
        </w:numPr>
        <w:kinsoku/>
        <w:wordWrap/>
        <w:overflowPunct/>
        <w:topLinePunct w:val="0"/>
        <w:autoSpaceDE/>
        <w:autoSpaceDN/>
        <w:bidi w:val="0"/>
        <w:adjustRightInd/>
        <w:snapToGrid/>
        <w:spacing w:before="0" w:after="0" w:line="600" w:lineRule="exact"/>
        <w:ind w:left="0" w:leftChars="0" w:firstLine="640" w:firstLineChars="20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44" w:name="_Toc1985298521_WPSOffice_Level2"/>
      <w:r>
        <w:rPr>
          <w:rFonts w:hint="eastAsia" w:ascii="黑体" w:hAnsi="黑体" w:eastAsia="黑体" w:cs="黑体"/>
          <w:b w:val="0"/>
          <w:bCs w:val="0"/>
          <w:snapToGrid w:val="0"/>
          <w:kern w:val="0"/>
          <w:sz w:val="32"/>
          <w:szCs w:val="32"/>
          <w:lang w:val="en-US" w:eastAsia="zh-CN" w:bidi="ar-SA"/>
        </w:rPr>
        <w:t>“十四五”时期面临的形势</w:t>
      </w:r>
      <w:bookmarkEnd w:id="44"/>
    </w:p>
    <w:p>
      <w:pPr>
        <w:pStyle w:val="5"/>
        <w:numPr>
          <w:ilvl w:val="0"/>
          <w:numId w:val="0"/>
        </w:numPr>
        <w:ind w:leftChars="200"/>
        <w:rPr>
          <w:lang w:val="en-US" w:eastAsia="zh-CN"/>
        </w:rPr>
      </w:pPr>
    </w:p>
    <w:bookmarkEnd w:id="35"/>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从宏观经济环境来看，“十四五”时期处于两个百年历史交汇期，既是全面建成小康社会的收官时期，也是全面建设社会主义现代化国家新征程的开局时期，充分认识国际、国内经济新形势，深刻洞察机遇与挑战，持续推进高质量发展，是做好我市金融业“十四五”规划的基础所在。</w:t>
      </w:r>
    </w:p>
    <w:p>
      <w:pPr>
        <w:pStyle w:val="4"/>
        <w:pageBreakBefore w:val="0"/>
        <w:widowControl w:val="0"/>
        <w:kinsoku/>
        <w:wordWrap/>
        <w:overflowPunct/>
        <w:topLinePunct w:val="0"/>
        <w:autoSpaceDE/>
        <w:autoSpaceDN/>
        <w:bidi w:val="0"/>
        <w:adjustRightInd/>
        <w:snapToGrid/>
        <w:spacing w:line="600" w:lineRule="exact"/>
        <w:ind w:firstLine="560"/>
        <w:textAlignment w:val="auto"/>
        <w:rPr>
          <w:rFonts w:ascii="楷体" w:hAnsi="楷体" w:eastAsia="楷体" w:cs="CESI楷体-GB2312"/>
          <w:b w:val="0"/>
          <w:bCs w:val="0"/>
          <w:sz w:val="32"/>
          <w:szCs w:val="32"/>
        </w:rPr>
      </w:pPr>
      <w:r>
        <w:rPr>
          <w:rFonts w:ascii="仿宋" w:hAnsi="仿宋" w:eastAsia="仿宋"/>
          <w:b w:val="0"/>
          <w:bCs w:val="0"/>
          <w:sz w:val="28"/>
          <w:szCs w:val="28"/>
        </w:rPr>
        <w:t xml:space="preserve"> </w:t>
      </w:r>
      <w:bookmarkStart w:id="45" w:name="_Toc85389535"/>
      <w:r>
        <w:rPr>
          <w:rFonts w:hint="eastAsia" w:ascii="楷体" w:hAnsi="楷体" w:eastAsia="楷体" w:cs="CESI楷体-GB2312"/>
          <w:b w:val="0"/>
          <w:bCs w:val="0"/>
          <w:sz w:val="32"/>
          <w:szCs w:val="32"/>
        </w:rPr>
        <w:t>（一）面临的机遇</w:t>
      </w:r>
      <w:bookmarkEnd w:id="45"/>
      <w:r>
        <w:rPr>
          <w:rFonts w:hint="eastAsia" w:ascii="楷体" w:hAnsi="楷体" w:eastAsia="楷体" w:cs="CESI楷体-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1.国际经济贸易格局变化，新兴经济体崛起带来新机遇</w:t>
      </w:r>
      <w:r>
        <w:rPr>
          <w:rFonts w:hint="eastAsia" w:ascii="仿宋_GB2312" w:eastAsia="仿宋_GB2312" w:cs="Times New Roman"/>
          <w:b w:val="0"/>
          <w:bCs w:val="0"/>
          <w:i w:val="0"/>
          <w:iCs w:val="0"/>
          <w:color w:val="000000"/>
          <w:sz w:val="32"/>
          <w:szCs w:val="32"/>
          <w:lang w:val="en-US" w:eastAsia="zh-CN"/>
        </w:rPr>
        <w:t>。随着近年来世界范围内新兴经济体不断崛起，国际贸易格局将持续改变。“十四五”期间，数字经济作为全新的生产工具、基础设施、交易标的和游戏规则，将驱动新的生产生活方式、交易方式和治理方式，成为支撑经济、社会发展以及产业转型、城市治理的新动能。我国积极参与RCEP等多边区域投资贸易合作机制，在共商共建共享原则下，加强国际宏观经济政策协调，维护多边贸易体制，推进基础设施互联互通，推动建设开放型世界经济，为后疫情时代经济复苏提供强大动力。</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2.我国经济长期向好，双循环新发展格局重塑竞争新优势。</w:t>
      </w:r>
      <w:r>
        <w:rPr>
          <w:rFonts w:hint="eastAsia" w:ascii="仿宋_GB2312" w:eastAsia="仿宋_GB2312" w:cs="Times New Roman"/>
          <w:b w:val="0"/>
          <w:bCs w:val="0"/>
          <w:i w:val="0"/>
          <w:iCs w:val="0"/>
          <w:color w:val="000000"/>
          <w:sz w:val="32"/>
          <w:szCs w:val="32"/>
          <w:lang w:val="en-US" w:eastAsia="zh-CN"/>
        </w:rPr>
        <w:t>中国经济由高速增长阶段转向高质量发展阶段，经济增长动力由要素驱动、投资驱动转向创新驱动，经济结构不断优化升级，中国正构建以国内大循环为主体、国内国际双循环相互促进的新发展格局，为应对国内外经济形势变化，促进经济更高质量发展明确了方向。供给侧结构性改革、需求侧改革稳步推进，以需求牵引供给，以供给创造需求，为高质量发展赋予全新优势、创造有利条件。数字经济将成为引领经济高质量发展的重要力量，技术的发展也推动金融机构向数字化、科技化、智能化转型，有效提高了金融业的数据治理、成本管理、风险控制水平，助力实体经济质效提升。金融业高质量发展将促进国内国外两大市场的有效链接，为我国强化硬核实力发挥重要作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3.山东省开启新时代现代化强省建设新阶段，金融的重要性更加突出。</w:t>
      </w:r>
      <w:r>
        <w:rPr>
          <w:rFonts w:hint="eastAsia" w:ascii="仿宋_GB2312" w:eastAsia="仿宋_GB2312" w:cs="Times New Roman"/>
          <w:b w:val="0"/>
          <w:bCs w:val="0"/>
          <w:i w:val="0"/>
          <w:iCs w:val="0"/>
          <w:color w:val="000000"/>
          <w:sz w:val="32"/>
          <w:szCs w:val="32"/>
          <w:lang w:val="en-US" w:eastAsia="zh-CN"/>
        </w:rPr>
        <w:t>习近平总书记亲临山东视察、做出“三个走在前”重要指示，为做好山东工作提供了总遵循、总定位、总航标。新旧动能转换、军民融合、区域协调发展等“八大战略”加快实施；省会经济圈一体化、黄河科创大走廊、黄河现代产业合作示范带建设加快推进，山东锚定“七个走在前列”“九个强省突破”目标，奋力推进新时代现代化强省建设。省委、省政府将现代金融产业列入新旧动能转换“十强”产业，出台多项政策予以重点扶持培育。中国（山东）自贸试验区获批建设，合格境内有限合伙人（QDLP）、合格境外有限合伙人（QFLP）等金融对外开放措施加速落地，我省金融开放合作不断深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4.立足区域战略，释放高质量发展潜能。</w:t>
      </w:r>
      <w:r>
        <w:rPr>
          <w:rFonts w:hint="eastAsia" w:ascii="仿宋_GB2312" w:eastAsia="仿宋_GB2312" w:cs="Times New Roman"/>
          <w:b w:val="0"/>
          <w:bCs w:val="0"/>
          <w:i w:val="0"/>
          <w:iCs w:val="0"/>
          <w:color w:val="000000"/>
          <w:sz w:val="32"/>
          <w:szCs w:val="32"/>
          <w:lang w:val="en-US" w:eastAsia="zh-CN"/>
        </w:rPr>
        <w:t>聊城地处京津冀城市群、山东半岛城市群、中原城市群中间地带，300公里经济圈内人口超过2亿。聊城是国家历史文化名城，文化旅游产业资源厚重，在消费金融等方面存在潜在的深入拓展机遇。郑济高铁、雄商高铁在我市交汇，高铁站和机场在筹备建设中，区位交通优势进一步凸显，基础设施的完善将给地方金融和就业带来强大的基础和动力。产业基础扎实，高质量发展氛围浓厚，新旧动能转换、黄河流域生态保护和高质量发展、制造业强市建设、数字经济发展、智能化技改、高新技术企业培育、高铁新区建设等重大战略、规划持续赋能。营商环境优良，改革红利加速释放，使我市战略空间拓展、战略潜能释放，有利于聊城在更高层面聚集和配置金融资源。</w:t>
      </w:r>
    </w:p>
    <w:p>
      <w:pPr>
        <w:pStyle w:val="4"/>
        <w:pageBreakBefore w:val="0"/>
        <w:widowControl w:val="0"/>
        <w:kinsoku/>
        <w:wordWrap/>
        <w:overflowPunct/>
        <w:topLinePunct w:val="0"/>
        <w:autoSpaceDE/>
        <w:autoSpaceDN/>
        <w:bidi w:val="0"/>
        <w:adjustRightInd/>
        <w:snapToGrid/>
        <w:spacing w:line="600" w:lineRule="exact"/>
        <w:ind w:firstLine="640"/>
        <w:textAlignment w:val="auto"/>
        <w:rPr>
          <w:rFonts w:ascii="楷体" w:hAnsi="楷体" w:eastAsia="楷体" w:cs="CESI楷体-GB2312"/>
          <w:b w:val="0"/>
          <w:sz w:val="32"/>
          <w:szCs w:val="32"/>
        </w:rPr>
      </w:pPr>
      <w:bookmarkStart w:id="46" w:name="_Toc85389536"/>
      <w:r>
        <w:rPr>
          <w:rFonts w:hint="eastAsia" w:ascii="楷体" w:hAnsi="楷体" w:eastAsia="楷体" w:cs="CESI楷体-GB2312"/>
          <w:b w:val="0"/>
          <w:sz w:val="32"/>
          <w:szCs w:val="32"/>
        </w:rPr>
        <w:t>（二）面临的挑战</w:t>
      </w:r>
      <w:bookmarkEnd w:id="46"/>
      <w:r>
        <w:rPr>
          <w:rFonts w:hint="eastAsia" w:ascii="楷体" w:hAnsi="楷体" w:eastAsia="楷体" w:cs="CESI楷体-GB2312"/>
          <w:b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1.国际形势严峻复杂，金融业发展面临转型。</w:t>
      </w:r>
      <w:r>
        <w:rPr>
          <w:rFonts w:hint="eastAsia" w:ascii="仿宋_GB2312" w:eastAsia="仿宋_GB2312" w:cs="Times New Roman"/>
          <w:b w:val="0"/>
          <w:bCs w:val="0"/>
          <w:i w:val="0"/>
          <w:iCs w:val="0"/>
          <w:color w:val="000000"/>
          <w:sz w:val="32"/>
          <w:szCs w:val="32"/>
          <w:lang w:val="en-US" w:eastAsia="zh-CN"/>
        </w:rPr>
        <w:t>当今世界正经历百年未有之大变局，国际政治、经济格局发生深刻调整，国际经济增速放缓，贸易冲突此起彼伏，国内金融领域受到国际金融势力的冲击，经济金融发展的不确定因素增加。新冠疫情影响持续，实体经济下行压力增大，对银行预防和化解问题资产的能力提出更高要求。多重挑战下，粗放式、重资本增长不再适应时代发展变化，中国金融业面临转型发展的迫切压力。</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2.国内发展不均衡仍然突出，客户差异化金融需求亟待满足。</w:t>
      </w:r>
      <w:r>
        <w:rPr>
          <w:rFonts w:hint="eastAsia" w:ascii="仿宋_GB2312" w:eastAsia="仿宋_GB2312" w:cs="Times New Roman"/>
          <w:b w:val="0"/>
          <w:bCs w:val="0"/>
          <w:i w:val="0"/>
          <w:iCs w:val="0"/>
          <w:color w:val="000000"/>
          <w:sz w:val="32"/>
          <w:szCs w:val="32"/>
          <w:lang w:val="en-US" w:eastAsia="zh-CN"/>
        </w:rPr>
        <w:t>当前我国正处在转变发展方式、优化经济结构、转换增长动力的重要时期，结构性、体制性、周期性问题相互交织，“三期叠加”影响持续深化，经济下行压力加大。同时，城乡发展不平衡、贫富分化加剧、人口老龄化等问题不断凸显。城乡、收入、年龄等客户差别导致的金融需求差异化程度不断提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3.我市金融供给质效有待优化，金融业发展仍存在不平衡不充分的问题。</w:t>
      </w:r>
      <w:r>
        <w:rPr>
          <w:rFonts w:hint="eastAsia" w:ascii="仿宋_GB2312" w:eastAsia="仿宋_GB2312" w:cs="Times New Roman"/>
          <w:b w:val="0"/>
          <w:bCs w:val="0"/>
          <w:i w:val="0"/>
          <w:iCs w:val="0"/>
          <w:color w:val="000000"/>
          <w:sz w:val="32"/>
          <w:szCs w:val="32"/>
          <w:lang w:val="en-US" w:eastAsia="zh-CN"/>
        </w:rPr>
        <w:t>“十四五”时期，我市金融业发展面临的困难和挑战依然较多。具体表现在：金融体系有待完善，股权投资基金、信托、金融租赁、汽车金融公司、消费金融公司等新型金融机构发展相对滞后；地方法人金融机构竞争力偏弱，规模实力和品牌影响力仍需提升；金融创新有待加强，对制造业等重点领域和薄弱环节的金融支持需进一步加大，针对高精尖产业的支持手段和审批标准亟待破局；融资结构有待改善，直接融资占比较低；金融风险防控压力较大，地方金融治理体系和治理能力现代化程度不足等。</w:t>
      </w:r>
    </w:p>
    <w:p>
      <w:pPr>
        <w:pageBreakBefore w:val="0"/>
        <w:widowControl/>
        <w:kinsoku/>
        <w:wordWrap/>
        <w:overflowPunct/>
        <w:topLinePunct w:val="0"/>
        <w:autoSpaceDE/>
        <w:autoSpaceDN/>
        <w:bidi w:val="0"/>
        <w:spacing w:line="560" w:lineRule="exact"/>
        <w:jc w:val="left"/>
        <w:textAlignment w:val="auto"/>
        <w:rPr>
          <w:rFonts w:ascii="仿宋" w:hAnsi="仿宋" w:eastAsia="仿宋" w:cs="CESI仿宋-GB2312"/>
          <w:sz w:val="28"/>
          <w:szCs w:val="28"/>
          <w:highlight w:val="none"/>
        </w:rPr>
      </w:pPr>
      <w:r>
        <w:rPr>
          <w:rFonts w:ascii="仿宋" w:hAnsi="仿宋" w:eastAsia="仿宋" w:cs="CESI仿宋-GB2312"/>
          <w:sz w:val="28"/>
          <w:szCs w:val="28"/>
          <w:highlight w:val="none"/>
        </w:rPr>
        <w:br w:type="page"/>
      </w:r>
    </w:p>
    <w:p>
      <w:pPr>
        <w:pStyle w:val="3"/>
        <w:pageBreakBefore w:val="0"/>
        <w:kinsoku/>
        <w:wordWrap/>
        <w:overflowPunct/>
        <w:topLinePunct w:val="0"/>
        <w:autoSpaceDE/>
        <w:autoSpaceDN/>
        <w:bidi w:val="0"/>
        <w:spacing w:line="560" w:lineRule="exact"/>
        <w:ind w:firstLine="540" w:firstLineChars="150"/>
        <w:textAlignment w:val="auto"/>
        <w:rPr>
          <w:rFonts w:hint="eastAsia" w:ascii="黑体" w:hAnsi="黑体" w:eastAsia="黑体" w:cs="CESI黑体-GB2312"/>
          <w:b w:val="0"/>
          <w:sz w:val="36"/>
          <w:szCs w:val="36"/>
        </w:rPr>
      </w:pPr>
      <w:bookmarkStart w:id="47" w:name="_Toc85389537"/>
      <w:bookmarkStart w:id="48" w:name="_Toc349845763_WPSOffice_Level1"/>
      <w:r>
        <w:rPr>
          <w:rFonts w:hint="eastAsia" w:ascii="黑体" w:hAnsi="黑体" w:eastAsia="黑体" w:cs="CESI黑体-GB2312"/>
          <w:b w:val="0"/>
          <w:sz w:val="36"/>
          <w:szCs w:val="36"/>
        </w:rPr>
        <w:t>第</w:t>
      </w:r>
      <w:r>
        <w:rPr>
          <w:rFonts w:hint="eastAsia" w:ascii="黑体" w:hAnsi="黑体" w:eastAsia="黑体" w:cs="CESI黑体-GB2312"/>
          <w:b w:val="0"/>
          <w:sz w:val="36"/>
          <w:szCs w:val="36"/>
          <w:lang w:eastAsia="zh-CN"/>
        </w:rPr>
        <w:t>二部分</w:t>
      </w:r>
      <w:r>
        <w:rPr>
          <w:rFonts w:hint="eastAsia" w:ascii="黑体" w:hAnsi="黑体" w:eastAsia="黑体" w:cs="CESI黑体-GB2312"/>
          <w:b w:val="0"/>
          <w:sz w:val="36"/>
          <w:szCs w:val="36"/>
          <w:lang w:val="en-US" w:eastAsia="zh-CN"/>
        </w:rPr>
        <w:t xml:space="preserve">  </w:t>
      </w:r>
      <w:r>
        <w:rPr>
          <w:rFonts w:hint="eastAsia" w:ascii="黑体" w:hAnsi="黑体" w:eastAsia="黑体" w:cs="CESI黑体-GB2312"/>
          <w:b w:val="0"/>
          <w:sz w:val="36"/>
          <w:szCs w:val="36"/>
        </w:rPr>
        <w:t>“十四五”时期金融业发展指导思想、工作原则和</w:t>
      </w:r>
      <w:r>
        <w:rPr>
          <w:rFonts w:hint="eastAsia" w:ascii="黑体" w:hAnsi="黑体" w:eastAsia="黑体" w:cs="CESI黑体-GB2312"/>
          <w:b w:val="0"/>
          <w:sz w:val="36"/>
          <w:szCs w:val="36"/>
          <w:lang w:eastAsia="zh-CN"/>
        </w:rPr>
        <w:t>总体</w:t>
      </w:r>
      <w:r>
        <w:rPr>
          <w:rFonts w:hint="eastAsia" w:ascii="黑体" w:hAnsi="黑体" w:eastAsia="黑体" w:cs="CESI黑体-GB2312"/>
          <w:b w:val="0"/>
          <w:sz w:val="36"/>
          <w:szCs w:val="36"/>
        </w:rPr>
        <w:t>目标</w:t>
      </w:r>
      <w:bookmarkEnd w:id="47"/>
      <w:bookmarkEnd w:id="48"/>
    </w:p>
    <w:p>
      <w:pPr>
        <w:rPr>
          <w:rFonts w:hint="eastAsia" w:eastAsia="宋体"/>
          <w:lang w:val="en-US" w:eastAsia="zh-CN"/>
        </w:rPr>
      </w:pPr>
      <w:r>
        <w:rPr>
          <w:rFonts w:hint="eastAsia" w:eastAsia="宋体"/>
          <w:lang w:val="en-US" w:eastAsia="zh-CN"/>
        </w:rPr>
        <w:t xml:space="preserve">    </w:t>
      </w:r>
    </w:p>
    <w:p>
      <w:pPr>
        <w:keepNext/>
        <w:keepLines/>
        <w:pageBreakBefore w:val="0"/>
        <w:widowControl w:val="0"/>
        <w:numPr>
          <w:ilvl w:val="0"/>
          <w:numId w:val="3"/>
        </w:numPr>
        <w:kinsoku/>
        <w:wordWrap/>
        <w:overflowPunct/>
        <w:topLinePunct w:val="0"/>
        <w:autoSpaceDE/>
        <w:autoSpaceDN/>
        <w:bidi w:val="0"/>
        <w:adjustRightInd/>
        <w:snapToGrid/>
        <w:spacing w:before="0" w:after="0" w:line="600" w:lineRule="exact"/>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49" w:name="_Toc885333632_WPSOffice_Level2"/>
      <w:r>
        <w:rPr>
          <w:rFonts w:hint="eastAsia" w:ascii="黑体" w:hAnsi="黑体" w:eastAsia="黑体" w:cs="黑体"/>
          <w:b w:val="0"/>
          <w:bCs w:val="0"/>
          <w:snapToGrid w:val="0"/>
          <w:kern w:val="0"/>
          <w:sz w:val="32"/>
          <w:szCs w:val="32"/>
          <w:lang w:val="en-US" w:eastAsia="zh-CN" w:bidi="ar-SA"/>
        </w:rPr>
        <w:t>指导思想</w:t>
      </w:r>
      <w:bookmarkEnd w:id="49"/>
    </w:p>
    <w:p>
      <w:pPr>
        <w:pStyle w:val="5"/>
        <w:numPr>
          <w:ilvl w:val="0"/>
          <w:numId w:val="0"/>
        </w:numPr>
        <w:rPr>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以习近平新时代中国特色社会主义思想为指导，深入贯彻党的十九大和十九届历次全会精神，认真落实习近平总书记对金融工作和山东工作的重要指示批示要求，科学把握新发展阶段，全面贯彻新发展理念，服务和融入新发展格局，紧紧围绕服务实体经济、防控金融风险、深化金融改革三大任务，以满足人民日益增长的美好生活需要为目标，以构建与聊城高质量发展相适应的金融服务体系为主线，以金融供给侧结构性改革为抓手，以改革创新为根本动力，以维护金融稳定、优化金融生态环境为保障，打造整体实力雄厚、区域布局合理、组织体系健全、产融结合紧密、运行秩序优良的区域金融高质量发展聊城样板，为我市成为冀鲁豫三省交接区域性中心城市提供坚强金融支撑和保障。</w:t>
      </w:r>
    </w:p>
    <w:p>
      <w:pPr>
        <w:pStyle w:val="5"/>
        <w:rPr>
          <w:rFonts w:hint="eastAsia"/>
          <w:lang w:val="en-US" w:eastAsia="zh-CN"/>
        </w:rPr>
      </w:pPr>
    </w:p>
    <w:p>
      <w:pPr>
        <w:keepNext/>
        <w:keepLines/>
        <w:pageBreakBefore w:val="0"/>
        <w:widowControl w:val="0"/>
        <w:numPr>
          <w:ilvl w:val="0"/>
          <w:numId w:val="3"/>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50" w:name="_Toc2017530698_WPSOffice_Level2"/>
      <w:r>
        <w:rPr>
          <w:rFonts w:hint="eastAsia" w:ascii="黑体" w:hAnsi="黑体" w:eastAsia="黑体" w:cs="黑体"/>
          <w:b w:val="0"/>
          <w:bCs w:val="0"/>
          <w:snapToGrid w:val="0"/>
          <w:kern w:val="0"/>
          <w:sz w:val="32"/>
          <w:szCs w:val="32"/>
          <w:lang w:val="en-US" w:eastAsia="zh-CN" w:bidi="ar-SA"/>
        </w:rPr>
        <w:t>工作原则</w:t>
      </w:r>
      <w:bookmarkEnd w:id="50"/>
    </w:p>
    <w:p>
      <w:pPr>
        <w:pStyle w:val="5"/>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——坚持党管金融。</w:t>
      </w:r>
      <w:r>
        <w:rPr>
          <w:rFonts w:hint="eastAsia" w:ascii="仿宋_GB2312" w:eastAsia="仿宋_GB2312" w:cs="Times New Roman"/>
          <w:b w:val="0"/>
          <w:bCs w:val="0"/>
          <w:i w:val="0"/>
          <w:iCs w:val="0"/>
          <w:color w:val="000000"/>
          <w:sz w:val="32"/>
          <w:szCs w:val="32"/>
          <w:lang w:val="en-US" w:eastAsia="zh-CN"/>
        </w:rPr>
        <w:t>坚持和完善党领导金融发展的体制机制，不断提高党领导金融工作的能力和水平，把党的全面领导落实到金融工作的各领域各方面各环节。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——坚持服务实体经济。</w:t>
      </w:r>
      <w:r>
        <w:rPr>
          <w:rFonts w:hint="eastAsia" w:ascii="仿宋_GB2312" w:eastAsia="仿宋_GB2312" w:cs="Times New Roman"/>
          <w:b w:val="0"/>
          <w:bCs w:val="0"/>
          <w:i w:val="0"/>
          <w:iCs w:val="0"/>
          <w:color w:val="000000"/>
          <w:sz w:val="32"/>
          <w:szCs w:val="32"/>
          <w:lang w:val="en-US" w:eastAsia="zh-CN"/>
        </w:rPr>
        <w:t>牢记金融服务实体经济宗旨，加快构建金融有效服务实体经济体制机制，畅通金融资本流向实体经济渠道，有效缓解实体经济融资难、融资贵等问题。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——坚持服务重大战略。</w:t>
      </w:r>
      <w:r>
        <w:rPr>
          <w:rFonts w:hint="eastAsia" w:ascii="仿宋_GB2312" w:eastAsia="仿宋_GB2312" w:cs="Times New Roman"/>
          <w:b w:val="0"/>
          <w:bCs w:val="0"/>
          <w:i w:val="0"/>
          <w:iCs w:val="0"/>
          <w:color w:val="000000"/>
          <w:sz w:val="32"/>
          <w:szCs w:val="32"/>
          <w:lang w:val="en-US" w:eastAsia="zh-CN"/>
        </w:rPr>
        <w:t>深入落实黄河流域生态保护和高质量发展战略，深度融入京津冀协同发展区、中原经济区和省会经济圈，建立健全金融开放合作机制，在优化金融资源配置、金融市场一体化、多层次资本市场利用、科创金融、信息共享、人才交流等方面加强合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——坚持改革开放创新。</w:t>
      </w:r>
      <w:r>
        <w:rPr>
          <w:rFonts w:hint="eastAsia" w:ascii="仿宋_GB2312" w:eastAsia="仿宋_GB2312" w:cs="Times New Roman"/>
          <w:b w:val="0"/>
          <w:bCs w:val="0"/>
          <w:i w:val="0"/>
          <w:iCs w:val="0"/>
          <w:color w:val="000000"/>
          <w:sz w:val="32"/>
          <w:szCs w:val="32"/>
          <w:lang w:val="en-US" w:eastAsia="zh-CN"/>
        </w:rPr>
        <w:t>强力吸进域外大型、优质金融机构来聊落户发展，加快地方法人机构改革步伐，完善现代化金融体系。构建成熟定型的上市培育体系，大力发展直接融资。创新数字科技金融手段，提升金融服务数字化智能化驱动能力。</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——坚持有效防范化解风险。</w:t>
      </w:r>
      <w:r>
        <w:rPr>
          <w:rFonts w:hint="eastAsia" w:ascii="仿宋_GB2312" w:eastAsia="仿宋_GB2312" w:cs="Times New Roman"/>
          <w:b w:val="0"/>
          <w:bCs w:val="0"/>
          <w:i w:val="0"/>
          <w:iCs w:val="0"/>
          <w:color w:val="000000"/>
          <w:sz w:val="32"/>
          <w:szCs w:val="32"/>
          <w:lang w:val="en-US" w:eastAsia="zh-CN"/>
        </w:rPr>
        <w:t>牢牢把握“金融安全是国家安全的重要组成部分”实质要义，健全金融风险预防、预警、处置责任体系，落实金融机构主体责任、地方政府属地责任和监管部门监管责任，提高提法监管、科学监管水平，守住金融安全底线。</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eastAsia="仿宋_GB2312" w:cs="Times New Roman"/>
          <w:b w:val="0"/>
          <w:bCs w:val="0"/>
          <w:i w:val="0"/>
          <w:iCs w:val="0"/>
          <w:color w:val="000000"/>
          <w:sz w:val="32"/>
          <w:szCs w:val="32"/>
          <w:lang w:val="en" w:eastAsia="zh-CN"/>
        </w:rPr>
      </w:pPr>
      <w:r>
        <w:rPr>
          <w:rFonts w:hint="eastAsia" w:ascii="仿宋_GB2312" w:eastAsia="仿宋_GB2312" w:cs="Times New Roman"/>
          <w:b/>
          <w:bCs/>
          <w:i w:val="0"/>
          <w:iCs w:val="0"/>
          <w:color w:val="000000"/>
          <w:sz w:val="32"/>
          <w:szCs w:val="32"/>
          <w:lang w:val="en-US" w:eastAsia="zh-CN"/>
        </w:rPr>
        <w:t>——坚持系统推进观念。</w:t>
      </w:r>
      <w:r>
        <w:rPr>
          <w:rFonts w:hint="eastAsia" w:ascii="仿宋_GB2312" w:eastAsia="仿宋_GB2312" w:cs="Times New Roman"/>
          <w:b w:val="0"/>
          <w:bCs w:val="0"/>
          <w:i w:val="0"/>
          <w:iCs w:val="0"/>
          <w:color w:val="000000"/>
          <w:sz w:val="32"/>
          <w:szCs w:val="32"/>
          <w:lang w:val="en-US" w:eastAsia="zh-CN"/>
        </w:rPr>
        <w:t>加强央地金融监管协作，加强区域、行业间协调配合，切实提升地方金融全局性谋划、战略性布局、整体性推进的系统工作能力，有效解决金融发展碎片化、工作碎片化、政策碎片化问题。</w:t>
      </w:r>
    </w:p>
    <w:p>
      <w:pPr>
        <w:keepNext/>
        <w:keepLines/>
        <w:pageBreakBefore w:val="0"/>
        <w:widowControl w:val="0"/>
        <w:numPr>
          <w:ilvl w:val="0"/>
          <w:numId w:val="3"/>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bookmarkStart w:id="51" w:name="_Toc85389540"/>
      <w:r>
        <w:rPr>
          <w:rFonts w:hint="eastAsia" w:ascii="黑体" w:hAnsi="黑体" w:eastAsia="黑体" w:cs="黑体"/>
          <w:b w:val="0"/>
          <w:bCs w:val="0"/>
          <w:snapToGrid w:val="0"/>
          <w:kern w:val="0"/>
          <w:sz w:val="32"/>
          <w:szCs w:val="32"/>
          <w:lang w:val="en-US" w:eastAsia="zh-CN" w:bidi="ar-SA"/>
        </w:rPr>
        <w:t xml:space="preserve"> </w:t>
      </w:r>
      <w:bookmarkStart w:id="52" w:name="_Toc1719679573_WPSOffice_Level2"/>
      <w:r>
        <w:rPr>
          <w:rFonts w:hint="eastAsia" w:ascii="黑体" w:hAnsi="黑体" w:eastAsia="黑体" w:cs="黑体"/>
          <w:b w:val="0"/>
          <w:bCs w:val="0"/>
          <w:snapToGrid w:val="0"/>
          <w:kern w:val="0"/>
          <w:sz w:val="32"/>
          <w:szCs w:val="32"/>
          <w:lang w:val="en-US" w:eastAsia="zh-CN" w:bidi="ar-SA"/>
        </w:rPr>
        <w:t>总体目标</w:t>
      </w:r>
      <w:bookmarkEnd w:id="52"/>
    </w:p>
    <w:p>
      <w:pPr>
        <w:pStyle w:val="5"/>
        <w:numPr>
          <w:ilvl w:val="0"/>
          <w:numId w:val="0"/>
        </w:numPr>
        <w:ind w:leftChars="0"/>
        <w:rPr>
          <w:rFonts w:hint="eastAsia"/>
          <w:lang w:val="en-US" w:eastAsia="zh-CN"/>
        </w:rPr>
      </w:pPr>
    </w:p>
    <w:bookmarkEnd w:id="51"/>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bCs/>
          <w:i w:val="0"/>
          <w:iCs w:val="0"/>
          <w:color w:val="000000"/>
          <w:sz w:val="24"/>
          <w:szCs w:val="24"/>
          <w:lang w:val="en-US" w:eastAsia="zh-CN"/>
        </w:rPr>
      </w:pPr>
      <w:r>
        <w:rPr>
          <w:rFonts w:hint="eastAsia" w:ascii="仿宋_GB2312" w:eastAsia="仿宋_GB2312" w:cs="Times New Roman"/>
          <w:b/>
          <w:bCs/>
          <w:i w:val="0"/>
          <w:iCs w:val="0"/>
          <w:color w:val="000000"/>
          <w:sz w:val="32"/>
          <w:szCs w:val="32"/>
          <w:lang w:val="en-US" w:eastAsia="zh-CN"/>
        </w:rPr>
        <w:t>——金融业规模实力显著提升。</w:t>
      </w:r>
      <w:r>
        <w:rPr>
          <w:rFonts w:hint="eastAsia" w:ascii="仿宋_GB2312" w:eastAsia="仿宋_GB2312" w:cs="Times New Roman"/>
          <w:b w:val="0"/>
          <w:bCs w:val="0"/>
          <w:i w:val="0"/>
          <w:iCs w:val="0"/>
          <w:color w:val="000000"/>
          <w:sz w:val="32"/>
          <w:szCs w:val="32"/>
          <w:lang w:val="en-US" w:eastAsia="zh-CN"/>
        </w:rPr>
        <w:t>金融业增加值占地区生产总值的比重逐年提高，2025年力争达到7</w:t>
      </w:r>
      <w:r>
        <w:rPr>
          <w:rFonts w:hint="default" w:ascii="仿宋_GB2312" w:eastAsia="仿宋_GB2312" w:cs="Times New Roman"/>
          <w:b w:val="0"/>
          <w:bCs w:val="0"/>
          <w:i w:val="0"/>
          <w:iCs w:val="0"/>
          <w:color w:val="000000"/>
          <w:sz w:val="32"/>
          <w:szCs w:val="32"/>
          <w:lang w:val="en" w:eastAsia="zh-CN"/>
        </w:rPr>
        <w:t>.5</w:t>
      </w:r>
      <w:r>
        <w:rPr>
          <w:rFonts w:hint="eastAsia" w:ascii="仿宋_GB2312" w:eastAsia="仿宋_GB2312" w:cs="Times New Roman"/>
          <w:b w:val="0"/>
          <w:bCs w:val="0"/>
          <w:i w:val="0"/>
          <w:iCs w:val="0"/>
          <w:color w:val="000000"/>
          <w:sz w:val="32"/>
          <w:szCs w:val="32"/>
          <w:lang w:val="en-US" w:eastAsia="zh-CN"/>
        </w:rPr>
        <w:t>%左右。力争金融机构存、贷款余额分别突破7000亿元和5000亿元，增速高于全省平均增速。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bCs/>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——金融产业体系丰富健全。</w:t>
      </w:r>
      <w:r>
        <w:rPr>
          <w:rFonts w:hint="eastAsia" w:ascii="仿宋_GB2312" w:eastAsia="仿宋_GB2312" w:cs="Times New Roman"/>
          <w:b w:val="0"/>
          <w:bCs w:val="0"/>
          <w:i w:val="0"/>
          <w:iCs w:val="0"/>
          <w:color w:val="000000"/>
          <w:sz w:val="32"/>
          <w:szCs w:val="32"/>
          <w:lang w:val="en-US" w:eastAsia="zh-CN"/>
        </w:rPr>
        <w:t>引进培育各类金融机构、地方新型金融组织、金融服务中介机构、股权投资机构等20家以上，农商行等地方法人金融机构规模实力显著增强，基本形成牌照齐全、竞争有序、错位发展的现代金融组织体系。</w:t>
      </w:r>
    </w:p>
    <w:p>
      <w:pPr>
        <w:spacing w:line="600" w:lineRule="exact"/>
        <w:ind w:firstLine="642" w:firstLineChars="200"/>
        <w:rPr>
          <w:rFonts w:hint="eastAsia" w:ascii="仿宋_GB2312" w:hAnsi="黑体" w:eastAsia="仿宋_GB2312"/>
          <w:sz w:val="32"/>
          <w:szCs w:val="32"/>
        </w:rPr>
      </w:pPr>
      <w:r>
        <w:rPr>
          <w:rFonts w:hint="eastAsia" w:ascii="仿宋_GB2312" w:eastAsia="仿宋_GB2312" w:cs="Times New Roman"/>
          <w:b/>
          <w:bCs/>
          <w:i w:val="0"/>
          <w:iCs w:val="0"/>
          <w:color w:val="000000"/>
          <w:sz w:val="32"/>
          <w:szCs w:val="32"/>
          <w:lang w:val="en-US" w:eastAsia="zh-CN"/>
        </w:rPr>
        <w:t>——金融服务更加精准有力。</w:t>
      </w:r>
      <w:r>
        <w:rPr>
          <w:rFonts w:hint="eastAsia" w:ascii="仿宋" w:hAnsi="仿宋" w:eastAsia="仿宋"/>
          <w:sz w:val="32"/>
          <w:szCs w:val="32"/>
        </w:rPr>
        <w:t>金融对</w:t>
      </w:r>
      <w:r>
        <w:rPr>
          <w:rFonts w:hint="eastAsia" w:ascii="仿宋_GB2312" w:eastAsia="仿宋_GB2312" w:cs="Times New Roman"/>
          <w:b w:val="0"/>
          <w:bCs w:val="0"/>
          <w:i w:val="0"/>
          <w:iCs w:val="0"/>
          <w:color w:val="000000"/>
          <w:sz w:val="32"/>
          <w:szCs w:val="32"/>
          <w:lang w:val="en-US" w:eastAsia="zh-CN"/>
        </w:rPr>
        <w:t>黄河流域生态保护和高质量发展、</w:t>
      </w:r>
      <w:r>
        <w:rPr>
          <w:rFonts w:hint="eastAsia" w:ascii="仿宋" w:hAnsi="仿宋" w:eastAsia="仿宋"/>
          <w:sz w:val="32"/>
          <w:szCs w:val="32"/>
          <w:lang w:eastAsia="zh-CN"/>
        </w:rPr>
        <w:t>制造业强市</w:t>
      </w:r>
      <w:r>
        <w:rPr>
          <w:rFonts w:hint="eastAsia" w:ascii="仿宋" w:hAnsi="仿宋" w:eastAsia="仿宋"/>
          <w:sz w:val="32"/>
          <w:szCs w:val="32"/>
        </w:rPr>
        <w:t>、乡村振兴、</w:t>
      </w:r>
      <w:r>
        <w:rPr>
          <w:rFonts w:hint="eastAsia" w:ascii="仿宋" w:hAnsi="仿宋" w:eastAsia="仿宋"/>
          <w:sz w:val="32"/>
          <w:szCs w:val="32"/>
          <w:lang w:eastAsia="zh-CN"/>
        </w:rPr>
        <w:t>文旅康养目的地</w:t>
      </w:r>
      <w:r>
        <w:rPr>
          <w:rFonts w:hint="eastAsia" w:ascii="仿宋" w:hAnsi="仿宋" w:eastAsia="仿宋"/>
          <w:sz w:val="32"/>
          <w:szCs w:val="32"/>
        </w:rPr>
        <w:t>等重大战略支持</w:t>
      </w:r>
      <w:r>
        <w:rPr>
          <w:rFonts w:hint="eastAsia" w:ascii="仿宋" w:hAnsi="仿宋" w:eastAsia="仿宋"/>
          <w:sz w:val="32"/>
          <w:szCs w:val="32"/>
          <w:lang w:eastAsia="zh-CN"/>
        </w:rPr>
        <w:t>保障</w:t>
      </w:r>
      <w:r>
        <w:rPr>
          <w:rFonts w:hint="eastAsia" w:ascii="仿宋" w:hAnsi="仿宋" w:eastAsia="仿宋"/>
          <w:sz w:val="32"/>
          <w:szCs w:val="32"/>
        </w:rPr>
        <w:t>更加有效，对重点产业、重点区域</w:t>
      </w:r>
      <w:r>
        <w:rPr>
          <w:rFonts w:hint="eastAsia" w:ascii="仿宋_GB2312" w:eastAsia="仿宋_GB2312" w:cs="Times New Roman"/>
          <w:b w:val="0"/>
          <w:bCs w:val="0"/>
          <w:i w:val="0"/>
          <w:iCs w:val="0"/>
          <w:color w:val="000000"/>
          <w:sz w:val="32"/>
          <w:szCs w:val="32"/>
          <w:lang w:val="en-US" w:eastAsia="zh-CN"/>
        </w:rPr>
        <w:t>的支持更加精准有效，制造业金融、</w:t>
      </w:r>
      <w:r>
        <w:rPr>
          <w:rFonts w:hint="eastAsia" w:ascii="仿宋" w:hAnsi="仿宋" w:eastAsia="仿宋"/>
          <w:sz w:val="32"/>
          <w:szCs w:val="32"/>
        </w:rPr>
        <w:t>科技金融、普惠金融、</w:t>
      </w:r>
      <w:r>
        <w:rPr>
          <w:rFonts w:hint="eastAsia" w:ascii="仿宋_GB2312" w:eastAsia="仿宋_GB2312" w:cs="Times New Roman"/>
          <w:b w:val="0"/>
          <w:bCs w:val="0"/>
          <w:i w:val="0"/>
          <w:iCs w:val="0"/>
          <w:color w:val="000000"/>
          <w:sz w:val="32"/>
          <w:szCs w:val="32"/>
          <w:lang w:val="en-US" w:eastAsia="zh-CN"/>
        </w:rPr>
        <w:t>农村金融、绿色金融、文旅金融、康养</w:t>
      </w:r>
      <w:r>
        <w:rPr>
          <w:rFonts w:hint="eastAsia" w:ascii="仿宋" w:hAnsi="仿宋" w:eastAsia="仿宋"/>
          <w:sz w:val="32"/>
          <w:szCs w:val="32"/>
        </w:rPr>
        <w:t>金融等实现精准化</w:t>
      </w:r>
      <w:r>
        <w:rPr>
          <w:rFonts w:hint="eastAsia" w:ascii="仿宋" w:hAnsi="仿宋" w:eastAsia="仿宋"/>
          <w:sz w:val="32"/>
          <w:szCs w:val="32"/>
          <w:lang w:eastAsia="zh-CN"/>
        </w:rPr>
        <w:t>、</w:t>
      </w:r>
      <w:r>
        <w:rPr>
          <w:rFonts w:hint="eastAsia" w:ascii="仿宋" w:hAnsi="仿宋" w:eastAsia="仿宋"/>
          <w:sz w:val="32"/>
          <w:szCs w:val="32"/>
        </w:rPr>
        <w:t>特色化发展。</w:t>
      </w:r>
    </w:p>
    <w:p>
      <w:pPr>
        <w:spacing w:line="600" w:lineRule="exact"/>
        <w:ind w:firstLine="642" w:firstLineChars="200"/>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——企业上市数量实现倍增。</w:t>
      </w:r>
      <w:r>
        <w:rPr>
          <w:rFonts w:hint="eastAsia" w:ascii="仿宋_GB2312" w:eastAsia="仿宋_GB2312" w:cs="Times New Roman"/>
          <w:b w:val="0"/>
          <w:bCs w:val="0"/>
          <w:i w:val="0"/>
          <w:iCs w:val="0"/>
          <w:color w:val="000000"/>
          <w:sz w:val="32"/>
          <w:szCs w:val="32"/>
          <w:lang w:val="en-US" w:eastAsia="zh-CN"/>
        </w:rPr>
        <w:t>把握证券发行注册制改革、北交所设立重大机遇，加快推动先进制造业等领域优质企业上市。“十四五”期间，全市省级上市后备资源库重点企业扩展到50家以上并及时动态调整，力争上市公司数量5年翻番，</w:t>
      </w:r>
      <w:r>
        <w:rPr>
          <w:rFonts w:hint="eastAsia" w:ascii="仿宋" w:hAnsi="仿宋" w:eastAsia="仿宋"/>
          <w:sz w:val="32"/>
          <w:szCs w:val="32"/>
        </w:rPr>
        <w:t>直接融资规模不断扩大。</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——金融改革开放持续深化。</w:t>
      </w:r>
      <w:r>
        <w:rPr>
          <w:rFonts w:hint="eastAsia" w:ascii="仿宋_GB2312" w:eastAsia="仿宋_GB2312" w:cs="Times New Roman"/>
          <w:b w:val="0"/>
          <w:bCs w:val="0"/>
          <w:i w:val="0"/>
          <w:iCs w:val="0"/>
          <w:color w:val="000000"/>
          <w:sz w:val="32"/>
          <w:szCs w:val="32"/>
          <w:lang w:val="en-US" w:eastAsia="zh-CN"/>
        </w:rPr>
        <w:t>加快金融供给侧结构性改革，深化新旧动能重大工程等领域金融服务，探索建立一体化、特色化的金融创新体系。借力省会经济圈等优惠政策，加强区域金融合作，金融发展理念、层级不断提升。加大企业“走出去”“引进来”金融支持力度，深化跨境电商等金融服务，跨境结算便利度进一步提升。</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——金融生态环境明显优化。</w:t>
      </w:r>
      <w:r>
        <w:rPr>
          <w:rFonts w:hint="eastAsia" w:ascii="仿宋_GB2312" w:eastAsia="仿宋_GB2312" w:cs="Times New Roman"/>
          <w:b w:val="0"/>
          <w:bCs w:val="0"/>
          <w:i w:val="0"/>
          <w:iCs w:val="0"/>
          <w:color w:val="000000"/>
          <w:sz w:val="32"/>
          <w:szCs w:val="32"/>
          <w:lang w:val="en-US" w:eastAsia="zh-CN"/>
        </w:rPr>
        <w:t>金融监管体系更加健全，政策、法治、人才、舆论等环境持续优化，社会信用生态明显改善，银行不良贷款率降至全省平均水平，企业流动性风险、上市公司风险、非法金融活动等领域风险得到有效化解，守住兜牢金融安全底线。</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br w:type="textWrapping"/>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keepNext/>
        <w:keepLines/>
        <w:pageBreakBefore w:val="0"/>
        <w:widowControl w:val="0"/>
        <w:numPr>
          <w:ilvl w:val="0"/>
          <w:numId w:val="0"/>
        </w:numPr>
        <w:kinsoku/>
        <w:wordWrap/>
        <w:overflowPunct/>
        <w:topLinePunct w:val="0"/>
        <w:autoSpaceDE/>
        <w:autoSpaceDN/>
        <w:bidi w:val="0"/>
        <w:adjustRightInd/>
        <w:snapToGrid/>
        <w:spacing w:before="0" w:after="0" w:line="600" w:lineRule="exact"/>
        <w:ind w:firstLine="720" w:firstLineChars="200"/>
        <w:jc w:val="both"/>
        <w:textAlignment w:val="auto"/>
        <w:outlineLvl w:val="0"/>
        <w:rPr>
          <w:rFonts w:hint="eastAsia" w:ascii="CESI黑体-GB2312" w:hAnsi="CESI黑体-GB2312" w:eastAsia="CESI黑体-GB2312" w:cs="CESI黑体-GB2312"/>
          <w:sz w:val="36"/>
          <w:szCs w:val="36"/>
          <w:lang w:val="en-US" w:eastAsia="zh-CN"/>
        </w:rPr>
      </w:pPr>
      <w:bookmarkStart w:id="53" w:name="_Toc1985298521_WPSOffice_Level1"/>
      <w:r>
        <w:rPr>
          <w:rFonts w:hint="eastAsia" w:ascii="CESI黑体-GB2312" w:hAnsi="CESI黑体-GB2312" w:eastAsia="CESI黑体-GB2312" w:cs="CESI黑体-GB2312"/>
          <w:sz w:val="36"/>
          <w:szCs w:val="36"/>
          <w:lang w:eastAsia="zh-CN"/>
        </w:rPr>
        <w:t>第三部分</w:t>
      </w:r>
      <w:r>
        <w:rPr>
          <w:rFonts w:hint="eastAsia" w:ascii="CESI黑体-GB2312" w:hAnsi="CESI黑体-GB2312" w:eastAsia="CESI黑体-GB2312" w:cs="CESI黑体-GB2312"/>
          <w:sz w:val="36"/>
          <w:szCs w:val="36"/>
        </w:rPr>
        <w:t xml:space="preserve"> </w:t>
      </w:r>
      <w:r>
        <w:rPr>
          <w:rFonts w:hint="default" w:ascii="黑体" w:hAnsi="黑体" w:eastAsia="黑体" w:cs="黑体"/>
          <w:b w:val="0"/>
          <w:bCs w:val="0"/>
          <w:snapToGrid w:val="0"/>
          <w:kern w:val="0"/>
          <w:sz w:val="36"/>
          <w:szCs w:val="36"/>
          <w:lang w:val="en-US" w:eastAsia="zh-CN" w:bidi="ar-SA"/>
        </w:rPr>
        <w:t xml:space="preserve"> </w:t>
      </w:r>
      <w:bookmarkEnd w:id="53"/>
      <w:r>
        <w:rPr>
          <w:rFonts w:hint="default" w:ascii="仿宋" w:hAnsi="仿宋" w:eastAsia="仿宋" w:cs="Times New Roman"/>
          <w:b w:val="0"/>
          <w:bCs w:val="0"/>
          <w:sz w:val="28"/>
          <w:szCs w:val="28"/>
        </w:rPr>
        <w:t xml:space="preserve"> </w:t>
      </w:r>
      <w:r>
        <w:rPr>
          <w:rFonts w:hint="eastAsia" w:ascii="CESI黑体-GB2312" w:hAnsi="CESI黑体-GB2312" w:eastAsia="CESI黑体-GB2312" w:cs="CESI黑体-GB2312"/>
          <w:sz w:val="36"/>
          <w:szCs w:val="36"/>
          <w:lang w:eastAsia="zh-CN"/>
        </w:rPr>
        <w:t>聚焦金融产业高质量发展</w:t>
      </w:r>
      <w:r>
        <w:rPr>
          <w:rFonts w:hint="eastAsia" w:ascii="CESI黑体-GB2312" w:hAnsi="CESI黑体-GB2312" w:eastAsia="CESI黑体-GB2312" w:cs="CESI黑体-GB2312"/>
          <w:sz w:val="36"/>
          <w:szCs w:val="36"/>
          <w:lang w:val="en-US" w:eastAsia="zh-CN"/>
        </w:rPr>
        <w:t xml:space="preserve"> </w:t>
      </w:r>
      <w:r>
        <w:rPr>
          <w:rFonts w:hint="eastAsia" w:ascii="CESI黑体-GB2312" w:hAnsi="CESI黑体-GB2312" w:eastAsia="CESI黑体-GB2312" w:cs="CESI黑体-GB2312"/>
          <w:sz w:val="36"/>
          <w:szCs w:val="36"/>
          <w:lang w:eastAsia="zh-CN"/>
        </w:rPr>
        <w:t>实施金融塑强工程</w:t>
      </w:r>
    </w:p>
    <w:p>
      <w:pPr>
        <w:keepNext/>
        <w:keepLines/>
        <w:widowControl w:val="0"/>
        <w:numPr>
          <w:ilvl w:val="0"/>
          <w:numId w:val="0"/>
        </w:numPr>
        <w:spacing w:before="0" w:after="0" w:line="560" w:lineRule="exact"/>
        <w:jc w:val="both"/>
        <w:outlineLvl w:val="0"/>
        <w:rPr>
          <w:rFonts w:hint="eastAsia" w:ascii="黑体" w:hAnsi="黑体" w:eastAsia="黑体" w:cs="黑体"/>
          <w:b w:val="0"/>
          <w:bCs w:val="0"/>
          <w:snapToGrid w:val="0"/>
          <w:kern w:val="0"/>
          <w:sz w:val="32"/>
          <w:szCs w:val="32"/>
          <w:lang w:val="en-US" w:eastAsia="zh-CN" w:bidi="ar-SA"/>
        </w:rPr>
      </w:pPr>
    </w:p>
    <w:p>
      <w:pPr>
        <w:pStyle w:val="1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54" w:name="_Toc1091508523_WPSOffice_Level2"/>
      <w:r>
        <w:rPr>
          <w:rFonts w:hint="eastAsia" w:ascii="黑体" w:hAnsi="黑体" w:eastAsia="黑体" w:cs="黑体"/>
          <w:b w:val="0"/>
          <w:bCs w:val="0"/>
          <w:snapToGrid w:val="0"/>
          <w:kern w:val="0"/>
          <w:sz w:val="32"/>
          <w:szCs w:val="32"/>
          <w:lang w:val="en-US" w:eastAsia="zh-CN" w:bidi="ar-SA"/>
        </w:rPr>
        <w:t>塑强地方金融组织体系</w:t>
      </w:r>
      <w:bookmarkEnd w:id="54"/>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Chars="0" w:right="0" w:rightChars="0"/>
        <w:jc w:val="both"/>
        <w:textAlignment w:val="auto"/>
        <w:rPr>
          <w:rFonts w:hint="default" w:ascii="黑体" w:hAnsi="黑体" w:eastAsia="黑体" w:cs="黑体"/>
          <w:b w:val="0"/>
          <w:bCs w:val="0"/>
          <w:snapToGrid w:val="0"/>
          <w:kern w:val="0"/>
          <w:sz w:val="32"/>
          <w:szCs w:val="32"/>
          <w:lang w:val="en" w:eastAsia="zh-CN" w:bidi="ar-SA"/>
        </w:rPr>
      </w:pPr>
      <w:r>
        <w:rPr>
          <w:rFonts w:hint="default" w:ascii="黑体" w:hAnsi="黑体" w:eastAsia="黑体" w:cs="黑体"/>
          <w:b w:val="0"/>
          <w:bCs w:val="0"/>
          <w:snapToGrid w:val="0"/>
          <w:kern w:val="0"/>
          <w:sz w:val="32"/>
          <w:szCs w:val="32"/>
          <w:lang w:val="en" w:eastAsia="zh-CN" w:bidi="ar-SA"/>
        </w:rPr>
        <w:t xml:space="preserve">   </w:t>
      </w:r>
    </w:p>
    <w:p>
      <w:pPr>
        <w:pStyle w:val="5"/>
        <w:pageBreakBefore w:val="0"/>
        <w:numPr>
          <w:ilvl w:val="0"/>
          <w:numId w:val="0"/>
        </w:numPr>
        <w:kinsoku/>
        <w:wordWrap/>
        <w:overflowPunct/>
        <w:topLinePunct w:val="0"/>
        <w:autoSpaceDE/>
        <w:autoSpaceDN/>
        <w:bidi w:val="0"/>
        <w:adjustRightInd/>
        <w:snapToGrid/>
        <w:spacing w:line="600" w:lineRule="exact"/>
        <w:ind w:leftChars="0" w:firstLine="522"/>
        <w:jc w:val="both"/>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坚持“外引内育”相结合，精准开展金融招商，加强本土金融机构的培育，有效</w:t>
      </w:r>
      <w:r>
        <w:rPr>
          <w:rFonts w:hint="default" w:ascii="仿宋_GB2312" w:eastAsia="仿宋_GB2312" w:cs="Times New Roman"/>
          <w:b w:val="0"/>
          <w:bCs w:val="0"/>
          <w:i w:val="0"/>
          <w:iCs w:val="0"/>
          <w:color w:val="000000"/>
          <w:sz w:val="32"/>
          <w:szCs w:val="32"/>
          <w:lang w:val="en-US" w:eastAsia="zh-CN"/>
        </w:rPr>
        <w:t>优化金融组织体系结构</w:t>
      </w:r>
      <w:r>
        <w:rPr>
          <w:rFonts w:hint="eastAsia" w:ascii="仿宋_GB2312" w:eastAsia="仿宋_GB2312" w:cs="Times New Roman"/>
          <w:b w:val="0"/>
          <w:bCs w:val="0"/>
          <w:i w:val="0"/>
          <w:iCs w:val="0"/>
          <w:color w:val="000000"/>
          <w:sz w:val="32"/>
          <w:szCs w:val="32"/>
          <w:lang w:val="en-US" w:eastAsia="zh-CN"/>
        </w:rPr>
        <w:t>，有效</w:t>
      </w:r>
      <w:r>
        <w:rPr>
          <w:rFonts w:hint="default" w:ascii="仿宋_GB2312" w:eastAsia="仿宋_GB2312" w:cs="Times New Roman"/>
          <w:b w:val="0"/>
          <w:bCs w:val="0"/>
          <w:i w:val="0"/>
          <w:iCs w:val="0"/>
          <w:color w:val="000000"/>
          <w:sz w:val="32"/>
          <w:szCs w:val="32"/>
          <w:lang w:val="en-US" w:eastAsia="zh-CN"/>
        </w:rPr>
        <w:t>提升</w:t>
      </w:r>
      <w:r>
        <w:rPr>
          <w:rFonts w:hint="eastAsia" w:ascii="仿宋_GB2312" w:eastAsia="仿宋_GB2312" w:cs="Times New Roman"/>
          <w:b w:val="0"/>
          <w:bCs w:val="0"/>
          <w:i w:val="0"/>
          <w:iCs w:val="0"/>
          <w:color w:val="000000"/>
          <w:sz w:val="32"/>
          <w:szCs w:val="32"/>
          <w:lang w:val="en-US" w:eastAsia="zh-CN"/>
        </w:rPr>
        <w:t>地方</w:t>
      </w:r>
      <w:r>
        <w:rPr>
          <w:rFonts w:hint="default" w:ascii="仿宋_GB2312" w:eastAsia="仿宋_GB2312" w:cs="Times New Roman"/>
          <w:b w:val="0"/>
          <w:bCs w:val="0"/>
          <w:i w:val="0"/>
          <w:iCs w:val="0"/>
          <w:color w:val="000000"/>
          <w:sz w:val="32"/>
          <w:szCs w:val="32"/>
          <w:lang w:val="en-US" w:eastAsia="zh-CN"/>
        </w:rPr>
        <w:t>金融</w:t>
      </w:r>
      <w:r>
        <w:rPr>
          <w:rFonts w:hint="eastAsia" w:ascii="仿宋_GB2312" w:eastAsia="仿宋_GB2312" w:cs="Times New Roman"/>
          <w:b w:val="0"/>
          <w:bCs w:val="0"/>
          <w:i w:val="0"/>
          <w:iCs w:val="0"/>
          <w:color w:val="000000"/>
          <w:sz w:val="32"/>
          <w:szCs w:val="32"/>
          <w:lang w:val="en-US" w:eastAsia="zh-CN"/>
        </w:rPr>
        <w:t>综合</w:t>
      </w:r>
      <w:r>
        <w:rPr>
          <w:rFonts w:hint="default" w:ascii="仿宋_GB2312" w:eastAsia="仿宋_GB2312" w:cs="Times New Roman"/>
          <w:b w:val="0"/>
          <w:bCs w:val="0"/>
          <w:i w:val="0"/>
          <w:iCs w:val="0"/>
          <w:color w:val="000000"/>
          <w:sz w:val="32"/>
          <w:szCs w:val="32"/>
          <w:lang w:val="en-US" w:eastAsia="zh-CN"/>
        </w:rPr>
        <w:t>竞争力</w:t>
      </w:r>
      <w:r>
        <w:rPr>
          <w:rFonts w:hint="eastAsia" w:ascii="仿宋_GB2312" w:eastAsia="仿宋_GB2312" w:cs="Times New Roman"/>
          <w:b w:val="0"/>
          <w:bCs w:val="0"/>
          <w:i w:val="0"/>
          <w:iCs w:val="0"/>
          <w:color w:val="000000"/>
          <w:sz w:val="32"/>
          <w:szCs w:val="32"/>
          <w:lang w:val="en-US" w:eastAsia="zh-CN"/>
        </w:rPr>
        <w:t>，实现金融产业经济价值和生态价值的持续提升。</w:t>
      </w:r>
    </w:p>
    <w:p>
      <w:pPr>
        <w:keepNext w:val="0"/>
        <w:keepLines w:val="0"/>
        <w:widowControl/>
        <w:suppressLineNumbers w:val="0"/>
        <w:ind w:firstLine="642" w:firstLineChars="200"/>
        <w:jc w:val="both"/>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深化地方法人银行机构改革。</w:t>
      </w:r>
      <w:r>
        <w:rPr>
          <w:rFonts w:hint="eastAsia" w:ascii="仿宋_GB2312" w:eastAsia="仿宋_GB2312" w:cs="Times New Roman" w:hAnsiTheme="minorHAnsi"/>
          <w:b w:val="0"/>
          <w:bCs w:val="0"/>
          <w:i w:val="0"/>
          <w:iCs w:val="0"/>
          <w:color w:val="000000"/>
          <w:kern w:val="2"/>
          <w:sz w:val="32"/>
          <w:szCs w:val="32"/>
          <w:lang w:val="en-US" w:eastAsia="zh-CN" w:bidi="ar-SA"/>
        </w:rPr>
        <w:t>推动地方法人银行机构落实“三会一层”制度，建立产权清晰、权责明确、决策科学、监督有效的运行机制，</w:t>
      </w:r>
      <w:r>
        <w:rPr>
          <w:rFonts w:hint="eastAsia" w:ascii="仿宋_GB2312" w:eastAsia="仿宋_GB2312" w:cs="Times New Roman"/>
          <w:b w:val="0"/>
          <w:bCs w:val="0"/>
          <w:i w:val="0"/>
          <w:iCs w:val="0"/>
          <w:color w:val="000000"/>
          <w:kern w:val="2"/>
          <w:sz w:val="32"/>
          <w:szCs w:val="32"/>
          <w:lang w:val="en-US" w:eastAsia="zh-CN" w:bidi="ar-SA"/>
        </w:rPr>
        <w:t>培育合规文化、强化合规建议，</w:t>
      </w:r>
      <w:r>
        <w:rPr>
          <w:rFonts w:hint="eastAsia" w:ascii="仿宋_GB2312" w:eastAsia="仿宋_GB2312" w:cs="Times New Roman" w:hAnsiTheme="minorHAnsi"/>
          <w:b w:val="0"/>
          <w:bCs w:val="0"/>
          <w:i w:val="0"/>
          <w:iCs w:val="0"/>
          <w:color w:val="000000"/>
          <w:kern w:val="2"/>
          <w:sz w:val="32"/>
          <w:szCs w:val="32"/>
          <w:lang w:val="en-US" w:eastAsia="zh-CN" w:bidi="ar-SA"/>
        </w:rPr>
        <w:t>提升公司化治理水平。</w:t>
      </w:r>
      <w:r>
        <w:rPr>
          <w:rFonts w:hint="eastAsia" w:ascii="仿宋_GB2312" w:eastAsia="仿宋_GB2312" w:cs="Times New Roman"/>
          <w:b w:val="0"/>
          <w:bCs w:val="0"/>
          <w:i w:val="0"/>
          <w:iCs w:val="0"/>
          <w:color w:val="000000"/>
          <w:kern w:val="2"/>
          <w:sz w:val="32"/>
          <w:szCs w:val="32"/>
          <w:lang w:val="en-US" w:eastAsia="zh-CN" w:bidi="ar-SA"/>
        </w:rPr>
        <w:t>支持地方法人银行坚守支农支小服务主业，</w:t>
      </w:r>
      <w:r>
        <w:rPr>
          <w:rFonts w:hint="eastAsia" w:ascii="仿宋_GB2312" w:eastAsia="仿宋_GB2312" w:cs="Times New Roman" w:hAnsiTheme="minorHAnsi"/>
          <w:b w:val="0"/>
          <w:bCs w:val="0"/>
          <w:i w:val="0"/>
          <w:iCs w:val="0"/>
          <w:color w:val="000000"/>
          <w:kern w:val="2"/>
          <w:sz w:val="32"/>
          <w:szCs w:val="32"/>
          <w:lang w:val="en-US" w:eastAsia="zh-CN" w:bidi="ar-SA"/>
        </w:rPr>
        <w:t>利用互联网、大数据、人工智能、物联网等技术，进行业务流程改造、金融产品创新和内部风险控制，增强核心竞争力。支持优质地方法人机构通过发行小微企业专项金融债、按照市场原则引入战略投资者、对接多层次资本市场等方式拓宽资本补充渠道，提高资本实力。</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ascii="仿宋" w:hAnsi="仿宋" w:eastAsia="仿宋" w:cs="CESI仿宋-GB2312"/>
          <w:b/>
          <w:bCs/>
          <w:sz w:val="32"/>
          <w:szCs w:val="32"/>
        </w:rPr>
        <w:t>培育壮大新业态金融服务机构。</w:t>
      </w:r>
      <w:r>
        <w:rPr>
          <w:rFonts w:hint="eastAsia" w:ascii="仿宋_GB2312" w:eastAsia="仿宋_GB2312" w:cs="Times New Roman"/>
          <w:b w:val="0"/>
          <w:bCs w:val="0"/>
          <w:i w:val="0"/>
          <w:iCs w:val="0"/>
          <w:color w:val="000000"/>
          <w:kern w:val="2"/>
          <w:sz w:val="32"/>
          <w:szCs w:val="32"/>
          <w:lang w:val="en-US" w:eastAsia="zh-CN" w:bidi="ar-SA"/>
        </w:rPr>
        <w:t>实施金融精准招商</w:t>
      </w:r>
      <w:r>
        <w:rPr>
          <w:rFonts w:hint="eastAsia" w:ascii="仿宋_GB2312" w:eastAsia="仿宋_GB2312" w:cs="Times New Roman" w:hAnsiTheme="minorHAnsi"/>
          <w:b w:val="0"/>
          <w:bCs w:val="0"/>
          <w:i w:val="0"/>
          <w:iCs w:val="0"/>
          <w:color w:val="000000"/>
          <w:kern w:val="2"/>
          <w:sz w:val="32"/>
          <w:szCs w:val="32"/>
          <w:lang w:val="en-US" w:eastAsia="zh-CN" w:bidi="ar-SA"/>
        </w:rPr>
        <w:t>，积极引入区域性、功能性金融机构总部和金融租赁公司、消费金融公司、公募基金管理公司、资产管理公司等紧缺型金融机构。促进中介服务产业加快发展</w:t>
      </w:r>
      <w:r>
        <w:rPr>
          <w:rFonts w:hint="eastAsia" w:ascii="仿宋_GB2312" w:eastAsia="仿宋_GB2312" w:cs="Times New Roman"/>
          <w:b w:val="0"/>
          <w:bCs w:val="0"/>
          <w:i w:val="0"/>
          <w:iCs w:val="0"/>
          <w:color w:val="000000"/>
          <w:kern w:val="2"/>
          <w:sz w:val="32"/>
          <w:szCs w:val="32"/>
          <w:lang w:val="en-US" w:eastAsia="zh-CN" w:bidi="ar-SA"/>
        </w:rPr>
        <w:t>，</w:t>
      </w:r>
      <w:r>
        <w:rPr>
          <w:rFonts w:hint="eastAsia" w:ascii="仿宋_GB2312" w:eastAsia="仿宋_GB2312" w:cs="Times New Roman" w:hAnsiTheme="minorHAnsi"/>
          <w:b w:val="0"/>
          <w:bCs w:val="0"/>
          <w:i w:val="0"/>
          <w:iCs w:val="0"/>
          <w:color w:val="000000"/>
          <w:kern w:val="2"/>
          <w:sz w:val="32"/>
          <w:szCs w:val="32"/>
          <w:lang w:val="en-US" w:eastAsia="zh-CN" w:bidi="ar-SA"/>
        </w:rPr>
        <w:t>支持新设立或新引进资产评估机构、信用评级机构等</w:t>
      </w:r>
      <w:r>
        <w:rPr>
          <w:rFonts w:hint="eastAsia" w:ascii="仿宋_GB2312" w:eastAsia="仿宋_GB2312" w:cs="Times New Roman"/>
          <w:b w:val="0"/>
          <w:bCs w:val="0"/>
          <w:i w:val="0"/>
          <w:iCs w:val="0"/>
          <w:color w:val="000000"/>
          <w:kern w:val="2"/>
          <w:sz w:val="32"/>
          <w:szCs w:val="32"/>
          <w:lang w:val="en-US" w:eastAsia="zh-CN" w:bidi="ar-SA"/>
        </w:rPr>
        <w:t>紧缺型</w:t>
      </w:r>
      <w:r>
        <w:rPr>
          <w:rFonts w:hint="eastAsia" w:ascii="仿宋_GB2312" w:eastAsia="仿宋_GB2312" w:cs="Times New Roman" w:hAnsiTheme="minorHAnsi"/>
          <w:b w:val="0"/>
          <w:bCs w:val="0"/>
          <w:i w:val="0"/>
          <w:iCs w:val="0"/>
          <w:color w:val="000000"/>
          <w:kern w:val="2"/>
          <w:sz w:val="32"/>
          <w:szCs w:val="32"/>
          <w:lang w:val="en-US" w:eastAsia="zh-CN" w:bidi="ar-SA"/>
        </w:rPr>
        <w:t>金融服务机构</w:t>
      </w:r>
      <w:r>
        <w:rPr>
          <w:rFonts w:hint="eastAsia" w:ascii="仿宋_GB2312" w:eastAsia="仿宋_GB2312" w:cs="Times New Roman"/>
          <w:b w:val="0"/>
          <w:bCs w:val="0"/>
          <w:i w:val="0"/>
          <w:iCs w:val="0"/>
          <w:color w:val="000000"/>
          <w:kern w:val="2"/>
          <w:sz w:val="32"/>
          <w:szCs w:val="32"/>
          <w:lang w:val="en-US" w:eastAsia="zh-CN" w:bidi="ar-SA"/>
        </w:rPr>
        <w:t>。</w:t>
      </w:r>
      <w:r>
        <w:rPr>
          <w:rFonts w:hint="eastAsia" w:ascii="仿宋_GB2312" w:eastAsia="仿宋_GB2312" w:cs="Times New Roman" w:hAnsiTheme="minorHAnsi"/>
          <w:b w:val="0"/>
          <w:bCs w:val="0"/>
          <w:i w:val="0"/>
          <w:iCs w:val="0"/>
          <w:color w:val="000000"/>
          <w:kern w:val="2"/>
          <w:sz w:val="32"/>
          <w:szCs w:val="32"/>
          <w:lang w:val="en-US" w:eastAsia="zh-CN" w:bidi="ar-SA"/>
        </w:rPr>
        <w:t>鼓励社会资本和大型企业在我市发起设立民营银行、法人保险公司、金融租赁公司等金融类法人机构。</w:t>
      </w:r>
    </w:p>
    <w:tbl>
      <w:tblPr>
        <w:tblStyle w:val="19"/>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pStyle w:val="8"/>
              <w:pBdr>
                <w:top w:val="none" w:color="auto" w:sz="0" w:space="0"/>
                <w:left w:val="none" w:color="auto" w:sz="0" w:space="0"/>
                <w:bottom w:val="none" w:color="auto" w:sz="0" w:space="0"/>
                <w:right w:val="none" w:color="auto" w:sz="0" w:space="0"/>
              </w:pBdr>
              <w:spacing w:after="156" w:afterLines="50" w:line="560" w:lineRule="exact"/>
              <w:ind w:firstLine="480"/>
              <w:rPr>
                <w:rFonts w:ascii="Times New Roman" w:hAnsi="Times New Roman" w:eastAsia="黑体"/>
                <w:b w:val="0"/>
                <w:szCs w:val="24"/>
              </w:rPr>
            </w:pPr>
            <w:bookmarkStart w:id="55" w:name="_Toc71352114"/>
            <w:r>
              <w:rPr>
                <w:rFonts w:hint="eastAsia" w:ascii="CESI楷体-GB2312" w:hAnsi="CESI楷体-GB2312" w:eastAsia="CESI楷体-GB2312" w:cs="CESI楷体-GB2312"/>
                <w:b w:val="0"/>
                <w:bCs w:val="0"/>
                <w:i w:val="0"/>
                <w:iCs w:val="0"/>
                <w:color w:val="000000"/>
                <w:kern w:val="2"/>
                <w:sz w:val="28"/>
                <w:szCs w:val="28"/>
                <w:lang w:val="en-US" w:eastAsia="zh-CN" w:bidi="ar-SA"/>
              </w:rPr>
              <w:t xml:space="preserve"> 专栏</w:t>
            </w:r>
            <w:bookmarkStart w:id="56" w:name="_Toc20043"/>
            <w:r>
              <w:rPr>
                <w:rFonts w:hint="eastAsia" w:ascii="CESI楷体-GB2312" w:hAnsi="CESI楷体-GB2312" w:eastAsia="CESI楷体-GB2312" w:cs="CESI楷体-GB2312"/>
                <w:b w:val="0"/>
                <w:bCs w:val="0"/>
                <w:i w:val="0"/>
                <w:iCs w:val="0"/>
                <w:color w:val="000000"/>
                <w:kern w:val="2"/>
                <w:sz w:val="28"/>
                <w:szCs w:val="28"/>
                <w:lang w:val="en-US" w:eastAsia="zh-CN" w:bidi="ar-SA"/>
              </w:rPr>
              <w:t>1 金融产业招商重点领域</w:t>
            </w:r>
            <w:bookmarkEnd w:id="55"/>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pageBreakBefore w:val="0"/>
              <w:widowControl/>
              <w:kinsoku/>
              <w:wordWrap/>
              <w:overflowPunct/>
              <w:topLinePunct w:val="0"/>
              <w:autoSpaceDE/>
              <w:autoSpaceDN/>
              <w:bidi w:val="0"/>
              <w:spacing w:line="560" w:lineRule="exact"/>
              <w:ind w:firstLine="560" w:firstLineChars="200"/>
              <w:textAlignment w:val="auto"/>
              <w:rPr>
                <w:rFonts w:hint="default" w:ascii="仿宋_GB2312" w:eastAsia="仿宋_GB2312" w:cs="Times New Roman" w:hAnsiTheme="minorHAnsi"/>
                <w:i w:val="0"/>
                <w:iCs w:val="0"/>
                <w:color w:val="000000"/>
                <w:kern w:val="0"/>
                <w:sz w:val="28"/>
                <w:szCs w:val="28"/>
                <w:lang w:val="en" w:eastAsia="zh-CN" w:bidi="ar"/>
              </w:rPr>
            </w:pPr>
            <w:r>
              <w:rPr>
                <w:rFonts w:hint="default" w:ascii="仿宋_GB2312" w:eastAsia="仿宋_GB2312" w:cs="Times New Roman" w:hAnsiTheme="minorHAnsi"/>
                <w:i w:val="0"/>
                <w:iCs w:val="0"/>
                <w:color w:val="000000"/>
                <w:kern w:val="0"/>
                <w:sz w:val="28"/>
                <w:szCs w:val="28"/>
                <w:lang w:val="en" w:eastAsia="zh-CN" w:bidi="ar"/>
              </w:rPr>
              <w:t>1.</w:t>
            </w:r>
            <w:r>
              <w:rPr>
                <w:rFonts w:hint="eastAsia" w:ascii="仿宋_GB2312" w:eastAsia="仿宋_GB2312" w:cs="Times New Roman" w:hAnsiTheme="minorHAnsi"/>
                <w:i w:val="0"/>
                <w:iCs w:val="0"/>
                <w:color w:val="000000"/>
                <w:kern w:val="0"/>
                <w:sz w:val="28"/>
                <w:szCs w:val="28"/>
                <w:lang w:val="en-US" w:eastAsia="zh-CN" w:bidi="ar"/>
              </w:rPr>
              <w:t>全国性银行、省外城商行一级、二级分行</w:t>
            </w:r>
            <w:r>
              <w:rPr>
                <w:rFonts w:hint="eastAsia" w:ascii="仿宋_GB2312" w:eastAsia="仿宋_GB2312" w:cs="Times New Roman"/>
                <w:i w:val="0"/>
                <w:iCs w:val="0"/>
                <w:color w:val="000000"/>
                <w:kern w:val="0"/>
                <w:sz w:val="28"/>
                <w:szCs w:val="28"/>
                <w:lang w:val="en-US" w:eastAsia="zh-CN" w:bidi="ar"/>
              </w:rPr>
              <w:t>，</w:t>
            </w:r>
            <w:r>
              <w:rPr>
                <w:rFonts w:hint="eastAsia" w:ascii="仿宋_GB2312" w:eastAsia="仿宋_GB2312" w:cs="Times New Roman" w:hAnsiTheme="minorHAnsi"/>
                <w:i w:val="0"/>
                <w:iCs w:val="0"/>
                <w:color w:val="000000"/>
                <w:kern w:val="0"/>
                <w:sz w:val="28"/>
                <w:szCs w:val="28"/>
                <w:lang w:val="en-US" w:eastAsia="zh-CN" w:bidi="ar"/>
              </w:rPr>
              <w:t>省内城商行一级分行</w:t>
            </w:r>
            <w:r>
              <w:rPr>
                <w:rFonts w:hint="default" w:ascii="仿宋_GB2312" w:eastAsia="仿宋_GB2312" w:cs="Times New Roman" w:hAnsiTheme="minorHAnsi"/>
                <w:i w:val="0"/>
                <w:iCs w:val="0"/>
                <w:color w:val="000000"/>
                <w:kern w:val="0"/>
                <w:sz w:val="28"/>
                <w:szCs w:val="28"/>
                <w:lang w:val="en" w:eastAsia="zh-CN" w:bidi="ar"/>
              </w:rPr>
              <w:t>;</w:t>
            </w:r>
          </w:p>
          <w:p>
            <w:pPr>
              <w:pageBreakBefore w:val="0"/>
              <w:widowControl/>
              <w:kinsoku/>
              <w:wordWrap/>
              <w:overflowPunct/>
              <w:topLinePunct w:val="0"/>
              <w:autoSpaceDE/>
              <w:autoSpaceDN/>
              <w:bidi w:val="0"/>
              <w:spacing w:line="560" w:lineRule="exact"/>
              <w:ind w:firstLine="560" w:firstLineChars="200"/>
              <w:textAlignment w:val="auto"/>
              <w:rPr>
                <w:rFonts w:hint="default" w:ascii="仿宋_GB2312" w:eastAsia="仿宋_GB2312" w:cs="Times New Roman" w:hAnsiTheme="minorHAnsi"/>
                <w:i w:val="0"/>
                <w:iCs w:val="0"/>
                <w:color w:val="000000"/>
                <w:kern w:val="0"/>
                <w:sz w:val="28"/>
                <w:szCs w:val="28"/>
                <w:lang w:val="en" w:eastAsia="zh-CN" w:bidi="ar"/>
              </w:rPr>
            </w:pPr>
            <w:r>
              <w:rPr>
                <w:rFonts w:hint="default" w:ascii="仿宋_GB2312" w:eastAsia="仿宋_GB2312" w:cs="Times New Roman" w:hAnsiTheme="minorHAnsi"/>
                <w:i w:val="0"/>
                <w:iCs w:val="0"/>
                <w:color w:val="000000"/>
                <w:kern w:val="0"/>
                <w:sz w:val="28"/>
                <w:szCs w:val="28"/>
                <w:lang w:val="en" w:eastAsia="zh-CN" w:bidi="ar"/>
              </w:rPr>
              <w:t>2</w:t>
            </w:r>
            <w:r>
              <w:rPr>
                <w:rFonts w:hint="eastAsia" w:ascii="仿宋_GB2312" w:eastAsia="仿宋_GB2312" w:cs="Times New Roman" w:hAnsiTheme="minorHAnsi"/>
                <w:i w:val="0"/>
                <w:iCs w:val="0"/>
                <w:color w:val="000000"/>
                <w:kern w:val="0"/>
                <w:sz w:val="28"/>
                <w:szCs w:val="28"/>
                <w:lang w:val="en-US" w:eastAsia="zh-CN" w:bidi="ar"/>
              </w:rPr>
              <w:t>.全国性保险公司、证券公司、资产管理公司、金融租赁公司、消费金融公司、公募基金管理公司等各类大型非银行金融机构一</w:t>
            </w:r>
            <w:r>
              <w:rPr>
                <w:rFonts w:hint="eastAsia" w:ascii="仿宋_GB2312" w:eastAsia="仿宋_GB2312" w:cs="Times New Roman"/>
                <w:i w:val="0"/>
                <w:iCs w:val="0"/>
                <w:color w:val="000000"/>
                <w:kern w:val="0"/>
                <w:sz w:val="28"/>
                <w:szCs w:val="28"/>
                <w:lang w:val="en-US" w:eastAsia="zh-CN" w:bidi="ar"/>
              </w:rPr>
              <w:t>、二</w:t>
            </w:r>
            <w:r>
              <w:rPr>
                <w:rFonts w:hint="eastAsia" w:ascii="仿宋_GB2312" w:eastAsia="仿宋_GB2312" w:cs="Times New Roman" w:hAnsiTheme="minorHAnsi"/>
                <w:i w:val="0"/>
                <w:iCs w:val="0"/>
                <w:color w:val="000000"/>
                <w:kern w:val="0"/>
                <w:sz w:val="28"/>
                <w:szCs w:val="28"/>
                <w:lang w:val="en-US" w:eastAsia="zh-CN" w:bidi="ar"/>
              </w:rPr>
              <w:t>级分公司或功能总部</w:t>
            </w:r>
            <w:r>
              <w:rPr>
                <w:rFonts w:hint="default" w:ascii="仿宋_GB2312" w:eastAsia="仿宋_GB2312" w:cs="Times New Roman" w:hAnsiTheme="minorHAnsi"/>
                <w:i w:val="0"/>
                <w:iCs w:val="0"/>
                <w:color w:val="000000"/>
                <w:kern w:val="0"/>
                <w:sz w:val="28"/>
                <w:szCs w:val="28"/>
                <w:lang w:val="en" w:eastAsia="zh-CN" w:bidi="ar"/>
              </w:rPr>
              <w:t>;</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default" w:ascii="仿宋_GB2312" w:eastAsia="仿宋_GB2312" w:cs="Times New Roman" w:hAnsiTheme="minorHAnsi"/>
                <w:i w:val="0"/>
                <w:iCs w:val="0"/>
                <w:color w:val="000000"/>
                <w:kern w:val="0"/>
                <w:sz w:val="28"/>
                <w:szCs w:val="28"/>
                <w:lang w:val="en" w:eastAsia="zh-CN" w:bidi="ar"/>
              </w:rPr>
              <w:t>3.</w:t>
            </w:r>
            <w:r>
              <w:rPr>
                <w:rFonts w:hint="eastAsia" w:ascii="仿宋_GB2312" w:eastAsia="仿宋_GB2312" w:cs="Times New Roman" w:hAnsiTheme="minorHAnsi"/>
                <w:i w:val="0"/>
                <w:iCs w:val="0"/>
                <w:color w:val="000000"/>
                <w:kern w:val="0"/>
                <w:sz w:val="28"/>
                <w:szCs w:val="28"/>
                <w:lang w:val="en-US" w:eastAsia="zh-CN" w:bidi="ar"/>
              </w:rPr>
              <w:t>各类合规高效金融服务平台；</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i w:val="0"/>
                <w:iCs w:val="0"/>
                <w:color w:val="000000"/>
                <w:kern w:val="0"/>
                <w:sz w:val="28"/>
                <w:szCs w:val="28"/>
                <w:lang w:val="en-US" w:eastAsia="zh-CN" w:bidi="ar"/>
              </w:rPr>
              <w:t>4</w:t>
            </w:r>
            <w:r>
              <w:rPr>
                <w:rFonts w:hint="eastAsia" w:ascii="仿宋_GB2312" w:eastAsia="仿宋_GB2312" w:cs="Times New Roman" w:hAnsiTheme="minorHAnsi"/>
                <w:i w:val="0"/>
                <w:iCs w:val="0"/>
                <w:color w:val="000000"/>
                <w:kern w:val="0"/>
                <w:sz w:val="28"/>
                <w:szCs w:val="28"/>
                <w:lang w:val="en-US" w:eastAsia="zh-CN" w:bidi="ar"/>
              </w:rPr>
              <w:t>.资产评估机构和信用评级机构等金融服务中介机构；</w:t>
            </w:r>
          </w:p>
          <w:p>
            <w:pPr>
              <w:pageBreakBefore w:val="0"/>
              <w:widowControl/>
              <w:kinsoku/>
              <w:wordWrap/>
              <w:overflowPunct/>
              <w:topLinePunct w:val="0"/>
              <w:autoSpaceDE/>
              <w:autoSpaceDN/>
              <w:bidi w:val="0"/>
              <w:spacing w:line="560" w:lineRule="exact"/>
              <w:ind w:firstLine="560" w:firstLineChars="200"/>
              <w:textAlignment w:val="auto"/>
              <w:rPr>
                <w:rFonts w:hint="default"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i w:val="0"/>
                <w:iCs w:val="0"/>
                <w:color w:val="000000"/>
                <w:kern w:val="0"/>
                <w:sz w:val="28"/>
                <w:szCs w:val="28"/>
                <w:lang w:val="en-US" w:eastAsia="zh-CN" w:bidi="ar"/>
              </w:rPr>
              <w:t>5</w:t>
            </w:r>
            <w:r>
              <w:rPr>
                <w:rFonts w:hint="eastAsia" w:ascii="仿宋_GB2312" w:eastAsia="仿宋_GB2312" w:cs="Times New Roman" w:hAnsiTheme="minorHAnsi"/>
                <w:i w:val="0"/>
                <w:iCs w:val="0"/>
                <w:color w:val="000000"/>
                <w:kern w:val="0"/>
                <w:sz w:val="28"/>
                <w:szCs w:val="28"/>
                <w:lang w:val="en-US" w:eastAsia="zh-CN" w:bidi="ar"/>
              </w:rPr>
              <w:t>.股权投资机构。</w:t>
            </w:r>
          </w:p>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left"/>
              <w:rPr>
                <w:rFonts w:ascii="Times New Roman" w:hAnsi="Times New Roman"/>
                <w:sz w:val="24"/>
                <w:szCs w:val="24"/>
              </w:rPr>
            </w:pPr>
          </w:p>
        </w:tc>
      </w:tr>
    </w:tbl>
    <w:p>
      <w:pPr>
        <w:pageBreakBefore w:val="0"/>
        <w:kinsoku/>
        <w:wordWrap/>
        <w:overflowPunct/>
        <w:topLinePunct w:val="0"/>
        <w:autoSpaceDE/>
        <w:autoSpaceDN/>
        <w:bidi w:val="0"/>
        <w:adjustRightInd/>
        <w:snapToGrid/>
        <w:spacing w:line="600" w:lineRule="exact"/>
        <w:ind w:firstLine="642" w:firstLineChars="200"/>
        <w:textAlignment w:val="auto"/>
        <w:rPr>
          <w:rFonts w:ascii="仿宋" w:hAnsi="仿宋" w:eastAsia="仿宋" w:cs="CESI仿宋-GB2312"/>
          <w:sz w:val="32"/>
          <w:szCs w:val="32"/>
        </w:rPr>
      </w:pPr>
      <w:r>
        <w:rPr>
          <w:rFonts w:ascii="仿宋" w:hAnsi="仿宋" w:eastAsia="仿宋" w:cs="CESI仿宋-GB2312"/>
          <w:b/>
          <w:bCs/>
          <w:sz w:val="32"/>
          <w:szCs w:val="32"/>
        </w:rPr>
        <w:t>引导金融机构延伸服务半径。</w:t>
      </w:r>
      <w:r>
        <w:rPr>
          <w:rFonts w:ascii="仿宋" w:hAnsi="仿宋" w:eastAsia="仿宋" w:cs="CESI仿宋-GB2312"/>
          <w:sz w:val="32"/>
          <w:szCs w:val="32"/>
        </w:rPr>
        <w:t>健全金融机构体系，大力支持县域金融机构发展，指导和帮助在聊金融分支机构做好长远建设规划，加快向县区、街道（镇）下沉，运用金融科技，提升基层金融网点服务功能、服务半径和服务能力。鼓励银行机构设立县级支行、社区支行等。鼓励保险公司深化县域保险服务。鼓励证券机构根据民间资本丰盈程度来合理布局营业网点，</w:t>
      </w:r>
    </w:p>
    <w:p>
      <w:pPr>
        <w:pageBreakBefore w:val="0"/>
        <w:kinsoku/>
        <w:wordWrap/>
        <w:overflowPunct/>
        <w:topLinePunct w:val="0"/>
        <w:autoSpaceDE/>
        <w:autoSpaceDN/>
        <w:bidi w:val="0"/>
        <w:adjustRightInd/>
        <w:snapToGrid/>
        <w:spacing w:line="600" w:lineRule="exact"/>
        <w:ind w:firstLine="642" w:firstLineChars="200"/>
        <w:textAlignment w:val="auto"/>
        <w:rPr>
          <w:rFonts w:hint="default"/>
          <w:lang w:val="en-US" w:eastAsia="zh-CN"/>
        </w:rPr>
      </w:pPr>
      <w:r>
        <w:rPr>
          <w:rFonts w:hint="eastAsia" w:ascii="仿宋_GB2312" w:eastAsia="仿宋_GB2312" w:cs="Times New Roman" w:hAnsiTheme="minorHAnsi"/>
          <w:b/>
          <w:bCs/>
          <w:i w:val="0"/>
          <w:iCs w:val="0"/>
          <w:color w:val="000000"/>
          <w:kern w:val="2"/>
          <w:sz w:val="32"/>
          <w:szCs w:val="32"/>
          <w:lang w:val="en-US" w:eastAsia="zh-CN" w:bidi="ar-SA"/>
        </w:rPr>
        <w:t>推进地方金融组织健康发展。</w:t>
      </w:r>
      <w:r>
        <w:rPr>
          <w:rFonts w:hint="eastAsia" w:ascii="仿宋_GB2312" w:eastAsia="仿宋_GB2312" w:cs="Times New Roman" w:hAnsiTheme="minorHAnsi"/>
          <w:b w:val="0"/>
          <w:bCs w:val="0"/>
          <w:i w:val="0"/>
          <w:iCs w:val="0"/>
          <w:color w:val="000000"/>
          <w:kern w:val="2"/>
          <w:sz w:val="32"/>
          <w:szCs w:val="32"/>
          <w:lang w:val="en-US" w:eastAsia="zh-CN" w:bidi="ar-SA"/>
        </w:rPr>
        <w:t>积极鼓励引导符合条件的民间资本发起设立小额贷款公司、典当行等各类地方新型金融组织。推动一批业务经营状况良好、风险控制水平较高的地方新型金融组织立足本土，拓宽融资渠道、补充资本实力，通过细分市场、特色经营等措施，为小微、“三农”提供特色服务。按照市场化、法治化原则，逐步淘汰一批经营不合规、业务实质性停滞的地方金融组织。</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完善国有金融资本管理。</w:t>
      </w:r>
      <w:r>
        <w:rPr>
          <w:rFonts w:hint="eastAsia" w:ascii="仿宋_GB2312" w:eastAsia="仿宋_GB2312" w:cs="Times New Roman" w:hAnsiTheme="minorHAnsi"/>
          <w:b w:val="0"/>
          <w:bCs w:val="0"/>
          <w:i w:val="0"/>
          <w:iCs w:val="0"/>
          <w:color w:val="000000"/>
          <w:kern w:val="2"/>
          <w:sz w:val="32"/>
          <w:szCs w:val="32"/>
          <w:lang w:val="en-US" w:eastAsia="zh-CN" w:bidi="ar-SA"/>
        </w:rPr>
        <w:t>优化国有资本战略布局，</w:t>
      </w:r>
      <w:r>
        <w:rPr>
          <w:rFonts w:hint="eastAsia" w:ascii="仿宋_GB2312" w:eastAsia="仿宋_GB2312" w:cs="Times New Roman"/>
          <w:b w:val="0"/>
          <w:bCs w:val="0"/>
          <w:i w:val="0"/>
          <w:iCs w:val="0"/>
          <w:color w:val="000000"/>
          <w:kern w:val="2"/>
          <w:sz w:val="32"/>
          <w:szCs w:val="32"/>
          <w:lang w:val="en-US" w:eastAsia="zh-CN" w:bidi="ar-SA"/>
        </w:rPr>
        <w:t>采用划转或置换等方式，有序</w:t>
      </w:r>
      <w:r>
        <w:rPr>
          <w:rFonts w:hint="eastAsia" w:ascii="仿宋_GB2312" w:eastAsia="仿宋_GB2312" w:cs="Times New Roman" w:hAnsiTheme="minorHAnsi"/>
          <w:b w:val="0"/>
          <w:bCs w:val="0"/>
          <w:i w:val="0"/>
          <w:iCs w:val="0"/>
          <w:color w:val="000000"/>
          <w:kern w:val="2"/>
          <w:sz w:val="32"/>
          <w:szCs w:val="32"/>
          <w:lang w:val="en-US" w:eastAsia="zh-CN" w:bidi="ar-SA"/>
        </w:rPr>
        <w:t>将各市属企业的金融和类金融股权转移至财信</w:t>
      </w:r>
      <w:r>
        <w:rPr>
          <w:rFonts w:hint="eastAsia" w:ascii="仿宋_GB2312" w:eastAsia="仿宋_GB2312" w:cs="Times New Roman"/>
          <w:b w:val="0"/>
          <w:bCs w:val="0"/>
          <w:i w:val="0"/>
          <w:iCs w:val="0"/>
          <w:color w:val="000000"/>
          <w:kern w:val="2"/>
          <w:sz w:val="32"/>
          <w:szCs w:val="32"/>
          <w:lang w:val="en-US" w:eastAsia="zh-CN" w:bidi="ar-SA"/>
        </w:rPr>
        <w:t>集团</w:t>
      </w:r>
      <w:r>
        <w:rPr>
          <w:rFonts w:hint="eastAsia" w:ascii="仿宋_GB2312" w:eastAsia="仿宋_GB2312" w:cs="Times New Roman" w:hAnsiTheme="minorHAnsi"/>
          <w:b w:val="0"/>
          <w:bCs w:val="0"/>
          <w:i w:val="0"/>
          <w:iCs w:val="0"/>
          <w:color w:val="000000"/>
          <w:kern w:val="2"/>
          <w:sz w:val="32"/>
          <w:szCs w:val="32"/>
          <w:lang w:val="en-US" w:eastAsia="zh-CN" w:bidi="ar-SA"/>
        </w:rPr>
        <w:t>，</w:t>
      </w:r>
      <w:r>
        <w:rPr>
          <w:rFonts w:hint="eastAsia" w:ascii="仿宋_GB2312" w:eastAsia="仿宋_GB2312" w:cs="Times New Roman"/>
          <w:b w:val="0"/>
          <w:bCs w:val="0"/>
          <w:i w:val="0"/>
          <w:iCs w:val="0"/>
          <w:color w:val="000000"/>
          <w:kern w:val="2"/>
          <w:sz w:val="32"/>
          <w:szCs w:val="32"/>
          <w:lang w:val="en-US" w:eastAsia="zh-CN" w:bidi="ar-SA"/>
        </w:rPr>
        <w:t>以财信金控为主体</w:t>
      </w:r>
      <w:r>
        <w:rPr>
          <w:rFonts w:hint="eastAsia" w:ascii="仿宋_GB2312" w:eastAsia="仿宋_GB2312" w:cs="Times New Roman" w:hAnsiTheme="minorHAnsi"/>
          <w:b w:val="0"/>
          <w:bCs w:val="0"/>
          <w:i w:val="0"/>
          <w:iCs w:val="0"/>
          <w:color w:val="000000"/>
          <w:kern w:val="2"/>
          <w:sz w:val="32"/>
          <w:szCs w:val="32"/>
          <w:lang w:val="en-US" w:eastAsia="zh-CN" w:bidi="ar-SA"/>
        </w:rPr>
        <w:t>成立证照齐全地方金融公司。</w:t>
      </w:r>
      <w:r>
        <w:rPr>
          <w:rFonts w:hint="eastAsia" w:ascii="仿宋_GB2312" w:eastAsia="仿宋_GB2312" w:cs="Times New Roman"/>
          <w:b w:val="0"/>
          <w:bCs w:val="0"/>
          <w:i w:val="0"/>
          <w:iCs w:val="0"/>
          <w:color w:val="000000"/>
          <w:kern w:val="2"/>
          <w:sz w:val="32"/>
          <w:szCs w:val="32"/>
          <w:lang w:val="en-US" w:eastAsia="zh-CN" w:bidi="ar-SA"/>
        </w:rPr>
        <w:t>指导市属企业加强与业内头部企业合资合作</w:t>
      </w:r>
      <w:r>
        <w:rPr>
          <w:rFonts w:hint="eastAsia" w:ascii="仿宋_GB2312" w:eastAsia="仿宋_GB2312" w:cs="Times New Roman" w:hAnsiTheme="minorHAnsi"/>
          <w:b w:val="0"/>
          <w:bCs w:val="0"/>
          <w:i w:val="0"/>
          <w:iCs w:val="0"/>
          <w:color w:val="000000"/>
          <w:kern w:val="2"/>
          <w:sz w:val="32"/>
          <w:szCs w:val="32"/>
          <w:lang w:val="en-US" w:eastAsia="zh-CN" w:bidi="ar-SA"/>
        </w:rPr>
        <w:t>，</w:t>
      </w:r>
      <w:r>
        <w:rPr>
          <w:rFonts w:hint="eastAsia" w:ascii="仿宋_GB2312" w:eastAsia="仿宋_GB2312" w:cs="Times New Roman"/>
          <w:b w:val="0"/>
          <w:bCs w:val="0"/>
          <w:i w:val="0"/>
          <w:iCs w:val="0"/>
          <w:color w:val="000000"/>
          <w:kern w:val="2"/>
          <w:sz w:val="32"/>
          <w:szCs w:val="32"/>
          <w:lang w:val="en-US" w:eastAsia="zh-CN" w:bidi="ar-SA"/>
        </w:rPr>
        <w:t>结合主责主业探索组建资产管理公司，供应链金融公司，区域大宗物资采购平台等新类型金融机构，择机参股地方农商行等地方法人银行机构</w:t>
      </w:r>
      <w:r>
        <w:rPr>
          <w:rFonts w:hint="eastAsia" w:ascii="仿宋_GB2312" w:eastAsia="仿宋_GB2312" w:cs="Times New Roman" w:hAnsiTheme="minorHAnsi"/>
          <w:b w:val="0"/>
          <w:bCs w:val="0"/>
          <w:i w:val="0"/>
          <w:iCs w:val="0"/>
          <w:color w:val="000000"/>
          <w:kern w:val="2"/>
          <w:sz w:val="32"/>
          <w:szCs w:val="32"/>
          <w:lang w:val="en-US" w:eastAsia="zh-CN" w:bidi="ar-SA"/>
        </w:rPr>
        <w:t>，构建“融、投、贷、保、服”一体化的全产业布局。</w:t>
      </w:r>
    </w:p>
    <w:p>
      <w:pPr>
        <w:rPr>
          <w:rFonts w:hint="eastAsia"/>
          <w:lang w:val="en-US" w:eastAsia="zh-CN"/>
        </w:rPr>
      </w:pPr>
    </w:p>
    <w:p>
      <w:pPr>
        <w:pStyle w:val="2"/>
        <w:rPr>
          <w:rFonts w:hint="eastAsia"/>
          <w:lang w:val="en-US" w:eastAsia="zh-CN"/>
        </w:rPr>
      </w:pPr>
    </w:p>
    <w:p>
      <w:pPr>
        <w:pStyle w:val="1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0" w:firstLineChars="0"/>
        <w:jc w:val="center"/>
        <w:rPr>
          <w:rFonts w:hint="eastAsia" w:ascii="CESI黑体-GB2312" w:hAnsi="CESI黑体-GB2312" w:eastAsia="CESI黑体-GB2312" w:cs="CESI黑体-GB2312"/>
          <w:b w:val="0"/>
          <w:bCs w:val="0"/>
          <w:i w:val="0"/>
          <w:iCs w:val="0"/>
          <w:color w:val="000000"/>
          <w:kern w:val="2"/>
          <w:sz w:val="32"/>
          <w:szCs w:val="32"/>
          <w:lang w:val="en-US" w:eastAsia="zh-CN" w:bidi="ar-SA"/>
        </w:rPr>
      </w:pPr>
      <w:r>
        <w:rPr>
          <w:rFonts w:hint="eastAsia" w:ascii="CESI黑体-GB2312" w:hAnsi="CESI黑体-GB2312" w:eastAsia="CESI黑体-GB2312" w:cs="CESI黑体-GB2312"/>
          <w:b w:val="0"/>
          <w:bCs w:val="0"/>
          <w:i w:val="0"/>
          <w:iCs w:val="0"/>
          <w:color w:val="000000"/>
          <w:kern w:val="2"/>
          <w:sz w:val="32"/>
          <w:szCs w:val="32"/>
          <w:lang w:val="en-US" w:eastAsia="zh-CN" w:bidi="ar-SA"/>
        </w:rPr>
        <w:t xml:space="preserve">  </w:t>
      </w:r>
      <w:bookmarkStart w:id="57" w:name="_Toc1367311564_WPSOffice_Level2"/>
      <w:r>
        <w:rPr>
          <w:rFonts w:hint="eastAsia" w:ascii="CESI黑体-GB2312" w:hAnsi="CESI黑体-GB2312" w:eastAsia="CESI黑体-GB2312" w:cs="CESI黑体-GB2312"/>
          <w:b w:val="0"/>
          <w:bCs w:val="0"/>
          <w:i w:val="0"/>
          <w:iCs w:val="0"/>
          <w:color w:val="000000"/>
          <w:kern w:val="2"/>
          <w:sz w:val="32"/>
          <w:szCs w:val="32"/>
          <w:lang w:val="en-US" w:eastAsia="zh-CN" w:bidi="ar-SA"/>
        </w:rPr>
        <w:t>塑强</w:t>
      </w:r>
      <w:r>
        <w:rPr>
          <w:rFonts w:hint="eastAsia" w:ascii="CESI黑体-GB2312" w:hAnsi="CESI黑体-GB2312" w:eastAsia="CESI黑体-GB2312" w:cs="CESI黑体-GB2312"/>
          <w:kern w:val="0"/>
          <w:sz w:val="32"/>
          <w:szCs w:val="32"/>
          <w:lang w:val="zh-CN"/>
        </w:rPr>
        <w:t>金融产业数字化能力</w:t>
      </w:r>
      <w:bookmarkEnd w:id="57"/>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Chars="0" w:right="0" w:rightChars="0"/>
        <w:jc w:val="both"/>
        <w:textAlignment w:val="auto"/>
        <w:rPr>
          <w:rFonts w:hint="eastAsia" w:ascii="CESI黑体-GB2312" w:hAnsi="CESI黑体-GB2312" w:eastAsia="CESI黑体-GB2312" w:cs="CESI黑体-GB2312"/>
          <w:b w:val="0"/>
          <w:bCs w:val="0"/>
          <w:i w:val="0"/>
          <w:iCs w:val="0"/>
          <w:color w:val="000000"/>
          <w:kern w:val="2"/>
          <w:sz w:val="32"/>
          <w:szCs w:val="32"/>
          <w:lang w:val="en-US" w:eastAsia="zh-CN" w:bidi="ar-SA"/>
        </w:rPr>
      </w:pPr>
    </w:p>
    <w:p>
      <w:pPr>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kern w:val="0"/>
          <w:sz w:val="32"/>
          <w:szCs w:val="32"/>
          <w:lang w:val="zh-CN"/>
        </w:rPr>
      </w:pPr>
      <w:r>
        <w:rPr>
          <w:rFonts w:hint="eastAsia" w:ascii="CESI仿宋-GB2312" w:hAnsi="CESI仿宋-GB2312" w:eastAsia="CESI仿宋-GB2312" w:cs="CESI仿宋-GB2312"/>
          <w:sz w:val="32"/>
          <w:szCs w:val="32"/>
        </w:rPr>
        <w:t>加快金融机构数字化转型升级，</w:t>
      </w:r>
      <w:r>
        <w:rPr>
          <w:rFonts w:hint="eastAsia" w:ascii="仿宋" w:hAnsi="仿宋" w:eastAsia="仿宋" w:cs="CESI仿宋-GB2312"/>
          <w:kern w:val="0"/>
          <w:sz w:val="32"/>
          <w:szCs w:val="32"/>
          <w:lang w:val="zh-CN"/>
        </w:rPr>
        <w:t>增强金融的数字化服务质效，构建以客户、场景为中心的内接产品与服务、外连合作机构与企业的综合化、数字化的金融服务体系。</w:t>
      </w:r>
    </w:p>
    <w:p>
      <w:pPr>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CESI仿宋-GB2312"/>
          <w:kern w:val="0"/>
          <w:sz w:val="32"/>
          <w:szCs w:val="32"/>
          <w:lang w:val="zh-CN"/>
        </w:rPr>
      </w:pPr>
      <w:r>
        <w:rPr>
          <w:rFonts w:ascii="仿宋" w:hAnsi="仿宋" w:eastAsia="仿宋" w:cs="CESI仿宋-GB2312"/>
          <w:b/>
          <w:kern w:val="0"/>
          <w:sz w:val="32"/>
          <w:szCs w:val="32"/>
          <w:lang w:val="zh-CN"/>
        </w:rPr>
        <w:t>推动金融机构数字化转型。</w:t>
      </w:r>
      <w:r>
        <w:rPr>
          <w:rFonts w:hint="eastAsia" w:ascii="仿宋" w:hAnsi="仿宋" w:eastAsia="仿宋" w:cs="CESI仿宋-GB2312"/>
          <w:kern w:val="0"/>
          <w:sz w:val="32"/>
          <w:szCs w:val="32"/>
          <w:lang w:val="zh-CN"/>
        </w:rPr>
        <w:t>强化金融机构数字化运营思维，建立以数连接、由数驱动、用数重塑的“价值赋能”数字化认知，全面深化金融机构服务企业效能。</w:t>
      </w:r>
      <w:r>
        <w:rPr>
          <w:rFonts w:ascii="仿宋" w:hAnsi="仿宋" w:eastAsia="仿宋" w:cs="CESI仿宋-GB2312"/>
          <w:kern w:val="0"/>
          <w:sz w:val="32"/>
          <w:szCs w:val="32"/>
          <w:lang w:val="zh-CN"/>
        </w:rPr>
        <w:t>积极探索大数据、云计算、人工智能、区块链等科技手段在金融领域的转化应用，加强与科技公司在业务流程流化、金融产品研发创新、运营模式改进完善、风险模型重塑升级等方面的合作。支持金融机构设立专门的数字化运营部门，将聊城作为金融数字化应用场景地区，利用数字化手段创新金融服务，完善以产品为中心的金融设计研发体系，推广大数据营销、智能客服、智能风控、智能投研、智能理赔等智能化金融服务</w:t>
      </w:r>
      <w:r>
        <w:rPr>
          <w:rFonts w:hint="eastAsia" w:ascii="仿宋" w:hAnsi="仿宋" w:eastAsia="仿宋" w:cs="CESI仿宋-GB2312"/>
          <w:kern w:val="0"/>
          <w:sz w:val="32"/>
          <w:szCs w:val="32"/>
          <w:lang w:val="zh-CN"/>
        </w:rPr>
        <w:t>。</w:t>
      </w:r>
    </w:p>
    <w:p>
      <w:pPr>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ascii="仿宋" w:hAnsi="仿宋" w:eastAsia="仿宋" w:cs="CESI仿宋-GB2312"/>
          <w:b/>
          <w:kern w:val="0"/>
          <w:sz w:val="32"/>
          <w:szCs w:val="32"/>
          <w:lang w:val="zh-CN"/>
        </w:rPr>
      </w:pPr>
      <w:r>
        <w:rPr>
          <w:rFonts w:hint="eastAsia" w:ascii="仿宋" w:hAnsi="仿宋" w:eastAsia="仿宋" w:cs="CESI仿宋-GB2312"/>
          <w:b/>
          <w:bCs/>
          <w:kern w:val="0"/>
          <w:sz w:val="32"/>
          <w:szCs w:val="32"/>
          <w:lang w:val="zh-CN"/>
        </w:rPr>
        <w:t>优化数字金融生态环境。</w:t>
      </w:r>
      <w:r>
        <w:rPr>
          <w:rFonts w:hint="eastAsia" w:ascii="仿宋" w:hAnsi="仿宋" w:eastAsia="仿宋" w:cs="CESI仿宋-GB2312"/>
          <w:kern w:val="0"/>
          <w:sz w:val="32"/>
          <w:szCs w:val="32"/>
          <w:lang w:val="zh-CN"/>
        </w:rPr>
        <w:t>健全多方参与、协同共治的数字金融生态网络，激活数据要素潜能，推动数据安全有序共享。</w:t>
      </w:r>
      <w:r>
        <w:rPr>
          <w:rFonts w:ascii="仿宋" w:hAnsi="仿宋" w:eastAsia="仿宋" w:cs="CESI仿宋-GB2312"/>
          <w:kern w:val="0"/>
          <w:sz w:val="32"/>
          <w:szCs w:val="32"/>
          <w:lang w:val="zh-CN"/>
        </w:rPr>
        <w:t>探索在支付结算、授信贷款、征信、数字票据、供应链融资、证券投资、保险服务等多样化金融场景下的数字化解决方案，不断提升金融服务的质量和效益。</w:t>
      </w:r>
      <w:r>
        <w:rPr>
          <w:rFonts w:hint="eastAsia" w:ascii="仿宋" w:hAnsi="仿宋" w:eastAsia="仿宋" w:cs="CESI仿宋-GB2312"/>
          <w:kern w:val="0"/>
          <w:sz w:val="32"/>
          <w:szCs w:val="32"/>
          <w:lang w:val="zh-CN"/>
        </w:rPr>
        <w:t>扎实做好金融科技人才培养，建立健全校企联合培养、产学研联合育人模式，打造“金融+科技+法律”综合性人才梯队，加强职业操守教育，强化法律法规制度执行，护航金融科技行稳致远。</w:t>
      </w:r>
    </w:p>
    <w:p>
      <w:pPr>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default" w:ascii="仿宋_GB2312" w:eastAsia="仿宋_GB2312" w:cs="Times New Roman" w:hAnsiTheme="minorHAnsi"/>
          <w:b w:val="0"/>
          <w:bCs w:val="0"/>
          <w:i w:val="0"/>
          <w:iCs w:val="0"/>
          <w:color w:val="000000"/>
          <w:kern w:val="2"/>
          <w:sz w:val="32"/>
          <w:szCs w:val="32"/>
          <w:lang w:val="en-US" w:eastAsia="zh-CN" w:bidi="ar-SA"/>
        </w:rPr>
      </w:pPr>
      <w:r>
        <w:rPr>
          <w:rFonts w:ascii="仿宋" w:hAnsi="仿宋" w:eastAsia="仿宋" w:cs="CESI仿宋-GB2312"/>
          <w:b/>
          <w:kern w:val="0"/>
          <w:sz w:val="32"/>
          <w:szCs w:val="32"/>
        </w:rPr>
        <w:t>完善金融科技监管部门框架。</w:t>
      </w:r>
      <w:r>
        <w:rPr>
          <w:rFonts w:ascii="仿宋" w:hAnsi="仿宋" w:eastAsia="仿宋" w:cs="CESI仿宋-GB2312"/>
          <w:bCs/>
          <w:kern w:val="0"/>
          <w:sz w:val="32"/>
          <w:szCs w:val="32"/>
        </w:rPr>
        <w:t>支持金融管理部门、金融机构与科技企业合作，共同探索监管科技创新。运用前沿科技手段，优化完善覆盖金融机构和地方金融组织的风险监测预警系统，强化风险监测、非现场监管，打造数字化监管体系，提升跨行业、跨市场交叉性金融风险的甄别、防范、化解能力，形成更有效率、功能更加完备的监管系统。完善金融科技协同机制，系统构建基于大数据和云计算技术为核心的地方金融监管体系，实现全方位动态监管。</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default" w:ascii="仿宋_GB2312" w:eastAsia="仿宋_GB2312" w:cs="Times New Roman" w:hAnsiTheme="minorHAnsi"/>
          <w:b w:val="0"/>
          <w:bCs w:val="0"/>
          <w:i w:val="0"/>
          <w:iCs w:val="0"/>
          <w:color w:val="000000"/>
          <w:kern w:val="2"/>
          <w:sz w:val="32"/>
          <w:szCs w:val="32"/>
          <w:lang w:val="en-US" w:eastAsia="zh-CN" w:bidi="ar-SA"/>
        </w:rPr>
      </w:pPr>
    </w:p>
    <w:p>
      <w:pPr>
        <w:pStyle w:val="1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0" w:firstLineChars="0"/>
        <w:jc w:val="center"/>
        <w:rPr>
          <w:rFonts w:hint="eastAsia" w:ascii="CESI黑体-GB2312" w:hAnsi="CESI黑体-GB2312" w:eastAsia="CESI黑体-GB2312" w:cs="CESI黑体-GB2312"/>
          <w:b w:val="0"/>
          <w:bCs w:val="0"/>
          <w:i w:val="0"/>
          <w:iCs w:val="0"/>
          <w:color w:val="000000"/>
          <w:kern w:val="2"/>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58" w:name="_Toc1312561593_WPSOffice_Level2"/>
      <w:r>
        <w:rPr>
          <w:rFonts w:hint="eastAsia" w:ascii="CESI黑体-GB2312" w:hAnsi="CESI黑体-GB2312" w:eastAsia="CESI黑体-GB2312" w:cs="CESI黑体-GB2312"/>
          <w:b w:val="0"/>
          <w:bCs w:val="0"/>
          <w:i w:val="0"/>
          <w:iCs w:val="0"/>
          <w:color w:val="000000"/>
          <w:kern w:val="2"/>
          <w:sz w:val="32"/>
          <w:szCs w:val="32"/>
          <w:lang w:val="en-US" w:eastAsia="zh-CN" w:bidi="ar-SA"/>
        </w:rPr>
        <w:t>塑强</w:t>
      </w:r>
      <w:r>
        <w:rPr>
          <w:rFonts w:hint="eastAsia" w:ascii="CESI黑体-GB2312" w:hAnsi="CESI黑体-GB2312" w:eastAsia="CESI黑体-GB2312" w:cs="CESI黑体-GB2312"/>
          <w:kern w:val="0"/>
          <w:sz w:val="32"/>
          <w:szCs w:val="32"/>
          <w:lang w:val="zh-CN"/>
        </w:rPr>
        <w:t>直接融资功能</w:t>
      </w:r>
      <w:bookmarkEnd w:id="58"/>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黑体" w:hAnsi="黑体" w:eastAsia="黑体" w:cs="黑体"/>
          <w:b w:val="0"/>
          <w:bCs w:val="0"/>
          <w:snapToGrid w:val="0"/>
          <w:kern w:val="0"/>
          <w:sz w:val="32"/>
          <w:szCs w:val="32"/>
          <w:lang w:val="en-US" w:eastAsia="zh-CN" w:bidi="ar-SA"/>
        </w:rPr>
      </w:pP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i w:val="0"/>
          <w:iCs w:val="0"/>
          <w:color w:val="000000"/>
          <w:kern w:val="0"/>
          <w:sz w:val="32"/>
          <w:szCs w:val="32"/>
          <w:lang w:val="en-US" w:eastAsia="zh-CN" w:bidi="ar"/>
        </w:rPr>
        <w:t>把握证券发行注册制及北交所设立改革机遇，通过资金全过程参与、政策全周期支持和服务全链条保障，引导培育更多优质企业对接资本市场，实现企业上市数量倍增、直接融资占比持续提升。</w:t>
      </w:r>
    </w:p>
    <w:p>
      <w:pPr>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实施上市公司倍增计划。</w:t>
      </w:r>
      <w:r>
        <w:rPr>
          <w:rFonts w:hint="eastAsia" w:ascii="仿宋_GB2312" w:eastAsia="仿宋_GB2312" w:cs="Times New Roman" w:hAnsiTheme="minorHAnsi"/>
          <w:i w:val="0"/>
          <w:iCs w:val="0"/>
          <w:color w:val="000000"/>
          <w:kern w:val="0"/>
          <w:sz w:val="32"/>
          <w:szCs w:val="32"/>
          <w:lang w:val="en-US" w:eastAsia="zh-CN" w:bidi="ar"/>
        </w:rPr>
        <w:t>坚持境内外场内场外并重，引导优秀企业合理选择发行地点，科学规划上市挂牌路径。加强上市后备企业的培育，动态调整全市挂牌后备企业资源库，根据企业上市板块意向、</w:t>
      </w:r>
      <w:r>
        <w:rPr>
          <w:rFonts w:hint="eastAsia" w:ascii="仿宋_GB2312" w:eastAsia="仿宋_GB2312" w:cs="Times New Roman"/>
          <w:i w:val="0"/>
          <w:iCs w:val="0"/>
          <w:color w:val="000000"/>
          <w:kern w:val="0"/>
          <w:sz w:val="32"/>
          <w:szCs w:val="32"/>
          <w:lang w:val="en-US" w:eastAsia="zh-CN" w:bidi="ar"/>
        </w:rPr>
        <w:t>阶段</w:t>
      </w:r>
      <w:r>
        <w:rPr>
          <w:rFonts w:hint="eastAsia" w:ascii="仿宋_GB2312" w:eastAsia="仿宋_GB2312" w:cs="Times New Roman" w:hAnsiTheme="minorHAnsi"/>
          <w:i w:val="0"/>
          <w:iCs w:val="0"/>
          <w:color w:val="000000"/>
          <w:kern w:val="0"/>
          <w:sz w:val="32"/>
          <w:szCs w:val="32"/>
          <w:lang w:val="en-US" w:eastAsia="zh-CN" w:bidi="ar"/>
        </w:rPr>
        <w:t>提供分层级精准培</w:t>
      </w:r>
      <w:r>
        <w:rPr>
          <w:rFonts w:hint="eastAsia" w:ascii="仿宋_GB2312" w:eastAsia="仿宋_GB2312" w:cs="Times New Roman"/>
          <w:i w:val="0"/>
          <w:iCs w:val="0"/>
          <w:color w:val="000000"/>
          <w:kern w:val="0"/>
          <w:sz w:val="32"/>
          <w:szCs w:val="32"/>
          <w:lang w:val="en-US" w:eastAsia="zh-CN" w:bidi="ar"/>
        </w:rPr>
        <w:t>育</w:t>
      </w:r>
      <w:r>
        <w:rPr>
          <w:rFonts w:hint="eastAsia" w:ascii="仿宋_GB2312" w:eastAsia="仿宋_GB2312" w:cs="Times New Roman" w:hAnsiTheme="minorHAnsi"/>
          <w:i w:val="0"/>
          <w:iCs w:val="0"/>
          <w:color w:val="000000"/>
          <w:kern w:val="0"/>
          <w:sz w:val="32"/>
          <w:szCs w:val="32"/>
          <w:lang w:val="en-US" w:eastAsia="zh-CN" w:bidi="ar"/>
        </w:rPr>
        <w:t>，建立涵盖市、县两级科技、产业、金融等领域的专家顾问团队</w:t>
      </w:r>
      <w:r>
        <w:rPr>
          <w:rFonts w:hint="eastAsia" w:ascii="仿宋_GB2312" w:eastAsia="仿宋_GB2312" w:cs="Times New Roman"/>
          <w:i w:val="0"/>
          <w:iCs w:val="0"/>
          <w:color w:val="000000"/>
          <w:kern w:val="0"/>
          <w:sz w:val="32"/>
          <w:szCs w:val="32"/>
          <w:lang w:val="en-US" w:eastAsia="zh-CN" w:bidi="ar"/>
        </w:rPr>
        <w:t>。</w:t>
      </w:r>
      <w:r>
        <w:rPr>
          <w:rFonts w:hint="eastAsia" w:ascii="仿宋_GB2312" w:eastAsia="仿宋_GB2312" w:cs="Times New Roman" w:hAnsiTheme="minorHAnsi"/>
          <w:i w:val="0"/>
          <w:iCs w:val="0"/>
          <w:color w:val="000000"/>
          <w:kern w:val="0"/>
          <w:sz w:val="32"/>
          <w:szCs w:val="32"/>
          <w:lang w:val="en-US" w:eastAsia="zh-CN" w:bidi="ar"/>
        </w:rPr>
        <w:t>探索建立中介机构执业档案机制和声誉约束机制，</w:t>
      </w:r>
      <w:r>
        <w:rPr>
          <w:rFonts w:hint="eastAsia" w:ascii="仿宋_GB2312" w:eastAsia="仿宋_GB2312" w:cs="Times New Roman"/>
          <w:i w:val="0"/>
          <w:iCs w:val="0"/>
          <w:color w:val="000000"/>
          <w:kern w:val="0"/>
          <w:sz w:val="32"/>
          <w:szCs w:val="32"/>
          <w:lang w:val="en-US" w:eastAsia="zh-CN" w:bidi="ar"/>
        </w:rPr>
        <w:t>有效提升上市服务质效</w:t>
      </w:r>
      <w:r>
        <w:rPr>
          <w:rFonts w:hint="eastAsia" w:ascii="仿宋_GB2312" w:eastAsia="仿宋_GB2312" w:cs="Times New Roman" w:hAnsiTheme="minorHAnsi"/>
          <w:i w:val="0"/>
          <w:iCs w:val="0"/>
          <w:color w:val="000000"/>
          <w:kern w:val="0"/>
          <w:sz w:val="32"/>
          <w:szCs w:val="32"/>
          <w:lang w:val="en-US" w:eastAsia="zh-CN" w:bidi="ar"/>
        </w:rPr>
        <w:t>。加快推进企业规范化改制，支持暂未达到公开发行上市标准的创业型、成长型中小微企业在齐鲁股权交易中心挂牌、转让、融资，熟悉资本市场规则，完善公司治理后转板上市。</w:t>
      </w:r>
    </w:p>
    <w:p>
      <w:pPr>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积极发行债券融资。</w:t>
      </w:r>
      <w:r>
        <w:rPr>
          <w:rFonts w:hint="eastAsia" w:ascii="仿宋_GB2312" w:eastAsia="仿宋_GB2312" w:cs="Times New Roman" w:hAnsiTheme="minorHAnsi"/>
          <w:i w:val="0"/>
          <w:iCs w:val="0"/>
          <w:color w:val="000000"/>
          <w:kern w:val="0"/>
          <w:sz w:val="32"/>
          <w:szCs w:val="32"/>
          <w:lang w:val="en-US" w:eastAsia="zh-CN" w:bidi="ar"/>
        </w:rPr>
        <w:t>建立企业发行债券档案信息库，建立债券融资银企常态化对接机制。积极推动重点企业综合运用短期融资券、中期票据等债券工具融资，中小型企业发行中小企业集合票据、中小企业集合债券、超短期融资券等。探索发展债券信用保险。</w:t>
      </w:r>
    </w:p>
    <w:p>
      <w:pPr>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zh-CN" w:eastAsia="zh-CN" w:bidi="ar"/>
        </w:rPr>
        <w:t>促进股权投资机构扩面增量。</w:t>
      </w:r>
      <w:r>
        <w:rPr>
          <w:rFonts w:hint="eastAsia" w:ascii="仿宋_GB2312" w:eastAsia="仿宋_GB2312" w:cs="Times New Roman" w:hAnsiTheme="minorHAnsi"/>
          <w:i w:val="0"/>
          <w:iCs w:val="0"/>
          <w:color w:val="000000"/>
          <w:kern w:val="0"/>
          <w:sz w:val="32"/>
          <w:szCs w:val="32"/>
          <w:lang w:val="en-US" w:eastAsia="zh-CN" w:bidi="ar"/>
        </w:rPr>
        <w:t>以私募基金相关法规政策为指引，</w:t>
      </w:r>
      <w:r>
        <w:rPr>
          <w:rFonts w:hint="eastAsia" w:ascii="仿宋_GB2312" w:eastAsia="仿宋_GB2312" w:cs="Times New Roman" w:hAnsiTheme="minorHAnsi"/>
          <w:i w:val="0"/>
          <w:iCs w:val="0"/>
          <w:color w:val="000000"/>
          <w:kern w:val="0"/>
          <w:sz w:val="32"/>
          <w:szCs w:val="32"/>
          <w:lang w:val="zh-CN" w:eastAsia="zh-CN" w:bidi="ar"/>
        </w:rPr>
        <w:t>支持市域外资本在我市设立股权投资机构，鼓励我市各类股权投资机构引入市域外资本，对新引入的市域外合格投资者按</w:t>
      </w:r>
      <w:r>
        <w:rPr>
          <w:rFonts w:hint="eastAsia" w:ascii="仿宋_GB2312" w:eastAsia="仿宋_GB2312" w:cs="Times New Roman" w:hAnsiTheme="minorHAnsi"/>
          <w:i w:val="0"/>
          <w:iCs w:val="0"/>
          <w:color w:val="000000"/>
          <w:kern w:val="0"/>
          <w:sz w:val="32"/>
          <w:szCs w:val="32"/>
          <w:lang w:val="en-US" w:eastAsia="zh-CN" w:bidi="ar"/>
        </w:rPr>
        <w:t>规定</w:t>
      </w:r>
      <w:r>
        <w:rPr>
          <w:rFonts w:hint="eastAsia" w:ascii="仿宋_GB2312" w:eastAsia="仿宋_GB2312" w:cs="Times New Roman" w:hAnsiTheme="minorHAnsi"/>
          <w:i w:val="0"/>
          <w:iCs w:val="0"/>
          <w:color w:val="000000"/>
          <w:kern w:val="0"/>
          <w:sz w:val="32"/>
          <w:szCs w:val="32"/>
          <w:lang w:val="zh-CN" w:eastAsia="zh-CN" w:bidi="ar"/>
        </w:rPr>
        <w:t>标准和要求进行补助，</w:t>
      </w:r>
      <w:r>
        <w:rPr>
          <w:rFonts w:hint="eastAsia" w:ascii="仿宋_GB2312" w:eastAsia="仿宋_GB2312" w:cs="Times New Roman" w:hAnsiTheme="minorHAnsi"/>
          <w:i w:val="0"/>
          <w:iCs w:val="0"/>
          <w:color w:val="000000"/>
          <w:kern w:val="0"/>
          <w:sz w:val="32"/>
          <w:szCs w:val="32"/>
          <w:lang w:val="en-US" w:eastAsia="zh-CN" w:bidi="ar"/>
        </w:rPr>
        <w:t>推进股权投资行业发展。发挥市新旧动能转换基金的作用，全方位加强与各类基金合作，加大对我市改制、拟上市企业的股权投资力度。鼓励本地股权投资机构采用“跟投、领投”的方式参与我市企业投资。</w:t>
      </w:r>
    </w:p>
    <w:p>
      <w:pPr>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强化政策引导与激励。</w:t>
      </w:r>
      <w:r>
        <w:rPr>
          <w:rFonts w:hint="eastAsia" w:ascii="仿宋_GB2312" w:eastAsia="仿宋_GB2312" w:cs="Times New Roman" w:hAnsiTheme="minorHAnsi"/>
          <w:i w:val="0"/>
          <w:iCs w:val="0"/>
          <w:color w:val="000000"/>
          <w:kern w:val="0"/>
          <w:sz w:val="32"/>
          <w:szCs w:val="32"/>
          <w:lang w:val="en-US" w:eastAsia="zh-CN" w:bidi="ar"/>
        </w:rPr>
        <w:t>落实财政奖补政策，对企业对境内外首发上市公司，市财政按照首发融资额度分档分阶段予以补助。同一公司在沪深A股和香港H股均上市并融资的，可以分别享受境内外上市的政策。支持企业多途径上市，对通过借壳、买壳、吸收合并等资产重组形式实现境内上市并将注册地和税收户管地迁至我市的公司，发行企业债券、银行间债务融资工具等的企业，给予适当财政补助。探索设立拟上市挂牌企业破圈断链基金，加快推进优质拟上市企业解决担保圈、担保链问题。健全部门会商机制，对企业在城乡规划、土地房产确权、项目立项、资源环境影响评价、税费缴纳、股权确认、证照补办和行政许可衔接等方面存在的历史遗留问题，以及改制上市前三年生产经营活动中存在的需要规范的问题，协助企业妥善处理。</w:t>
      </w:r>
    </w:p>
    <w:p>
      <w:pPr>
        <w:pageBreakBefore w:val="0"/>
        <w:widowControl/>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黑体" w:hAnsi="黑体" w:eastAsia="黑体" w:cs="黑体"/>
          <w:b w:val="0"/>
          <w:bCs w:val="0"/>
          <w:snapToGrid w:val="0"/>
          <w:kern w:val="0"/>
          <w:sz w:val="32"/>
          <w:szCs w:val="32"/>
          <w:lang w:val="en-US" w:eastAsia="zh-CN" w:bidi="ar-SA"/>
        </w:rPr>
      </w:pPr>
    </w:p>
    <w:p>
      <w:pPr>
        <w:pageBreakBefore w:val="0"/>
        <w:widowControl/>
        <w:numPr>
          <w:ilvl w:val="0"/>
          <w:numId w:val="0"/>
        </w:numPr>
        <w:kinsoku/>
        <w:wordWrap/>
        <w:overflowPunct/>
        <w:topLinePunct w:val="0"/>
        <w:autoSpaceDE/>
        <w:autoSpaceDN/>
        <w:bidi w:val="0"/>
        <w:adjustRightInd/>
        <w:snapToGrid/>
        <w:spacing w:line="600" w:lineRule="exact"/>
        <w:ind w:leftChars="0"/>
        <w:jc w:val="center"/>
        <w:textAlignment w:val="auto"/>
        <w:rPr>
          <w:rFonts w:hint="eastAsia"/>
          <w:lang w:val="en-US" w:eastAsia="zh-CN"/>
        </w:rPr>
      </w:pPr>
      <w:bookmarkStart w:id="59" w:name="_Toc655425461_WPSOffice_Level2"/>
      <w:r>
        <w:rPr>
          <w:rFonts w:hint="eastAsia" w:ascii="黑体" w:hAnsi="黑体" w:eastAsia="黑体" w:cs="黑体"/>
          <w:b w:val="0"/>
          <w:bCs w:val="0"/>
          <w:snapToGrid w:val="0"/>
          <w:kern w:val="0"/>
          <w:sz w:val="32"/>
          <w:szCs w:val="32"/>
          <w:lang w:val="en-US" w:eastAsia="zh-CN" w:bidi="ar-SA"/>
        </w:rPr>
        <w:t>第四节  塑强地方</w:t>
      </w:r>
      <w:r>
        <w:rPr>
          <w:rFonts w:hint="eastAsia" w:ascii="CESI黑体-GB2312" w:hAnsi="CESI黑体-GB2312" w:eastAsia="CESI黑体-GB2312" w:cs="CESI黑体-GB2312"/>
          <w:b w:val="0"/>
          <w:bCs w:val="0"/>
          <w:sz w:val="32"/>
          <w:szCs w:val="32"/>
        </w:rPr>
        <w:t>金融</w:t>
      </w:r>
      <w:r>
        <w:rPr>
          <w:rFonts w:hint="eastAsia" w:ascii="CESI黑体-GB2312" w:hAnsi="CESI黑体-GB2312" w:eastAsia="CESI黑体-GB2312" w:cs="CESI黑体-GB2312"/>
          <w:b w:val="0"/>
          <w:bCs w:val="0"/>
          <w:sz w:val="32"/>
          <w:szCs w:val="32"/>
          <w:lang w:eastAsia="zh-CN"/>
        </w:rPr>
        <w:t>改革品牌</w:t>
      </w:r>
      <w:bookmarkEnd w:id="59"/>
    </w:p>
    <w:p>
      <w:pPr>
        <w:pStyle w:val="5"/>
        <w:rPr>
          <w:rFonts w:hint="eastAsia"/>
          <w:lang w:val="en-US" w:eastAsia="zh-CN"/>
        </w:rPr>
      </w:pPr>
    </w:p>
    <w:p>
      <w:pPr>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按照市级层面系统集成、县级层面多点突破的改革工作思路，围绕聊城区域特点和产业规划，开展系列金融改革创新，鼓励县域“试方式”“试路径”，探索区域金融服务和模式创新，打造N条金融发展的特色带形成一体化、特色化的金融发展格局。</w:t>
      </w:r>
    </w:p>
    <w:p>
      <w:pPr>
        <w:pageBreakBefore w:val="0"/>
        <w:widowControl/>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打造区域金融创新特色带。</w:t>
      </w:r>
      <w:r>
        <w:rPr>
          <w:rFonts w:hint="eastAsia" w:ascii="仿宋_GB2312" w:eastAsia="仿宋_GB2312" w:cs="Times New Roman"/>
          <w:b w:val="0"/>
          <w:bCs w:val="0"/>
          <w:i w:val="0"/>
          <w:iCs w:val="0"/>
          <w:color w:val="000000"/>
          <w:sz w:val="32"/>
          <w:szCs w:val="32"/>
          <w:lang w:val="en-US" w:eastAsia="zh-CN"/>
        </w:rPr>
        <w:t>支持东昌府区依托现有基金培育基础，大力发展产业投资基金，搭建金融资本和高科技企业合作共赢新平台。支持冠县聚焦制造业产业升级，加快推进绿色金融领域的改革创新，着力破除产业发展与污染防治之间的矛盾。支持茌平依托信发等重点领域龙头企业，以产业链上下游的中小企业为重点，大力发展铝电、化工产业链金融。支持莘县依托农业优势，创新乡村特色金融产品，优化金融产品供给结构，全面满足“三农”客户差异化、个性化融资需求。支持阳谷县、临清市紧抓“大运河”文化带机遇，创新文旅金融产品，统筹推进文化保护传承和区域高质量发展。支持高唐县深入挖掘“书画+锦鲤”特色文化资源，引导金融赋能文旅产业发展，打造中国·高唐书画文创康养产业园、中国锦鲤文旅小镇。支持度假区推进“金融+文旅”跨界合作，探索文旅债券、文旅基金等文旅金融产品，助力文旅企业“乘风破浪”。支持东阿县围绕打造黄河康养旅游度假区，强化政策、产品支撑，为康养项目、产业发展提供专项金融服务。支持开发区围绕小微园区企业创新金融服务，打造“金融+科技+园区+政府”多位一体的园区金融服务模式。支持高新区以聊城市产业研究院和山东科技金融服务中心聊城中心项目等为载体，探索科技型企业综合服务模式，推动金融、科技深度融合。</w:t>
      </w:r>
    </w:p>
    <w:tbl>
      <w:tblPr>
        <w:tblStyle w:val="20"/>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00" w:type="dxa"/>
            <w:noWrap w:val="0"/>
            <w:vAlign w:val="top"/>
          </w:tcPr>
          <w:p>
            <w:pPr>
              <w:keepNext/>
              <w:keepLines/>
              <w:pageBreakBefore w:val="0"/>
              <w:widowControl w:val="0"/>
              <w:numPr>
                <w:ilvl w:val="0"/>
                <w:numId w:val="0"/>
              </w:numPr>
              <w:kinsoku/>
              <w:wordWrap/>
              <w:overflowPunct/>
              <w:topLinePunct w:val="0"/>
              <w:autoSpaceDE/>
              <w:autoSpaceDN/>
              <w:bidi w:val="0"/>
              <w:adjustRightInd/>
              <w:snapToGrid/>
              <w:spacing w:before="0" w:after="0" w:line="520" w:lineRule="exact"/>
              <w:ind w:firstLine="560" w:firstLineChars="200"/>
              <w:jc w:val="center"/>
              <w:textAlignment w:val="auto"/>
              <w:outlineLvl w:val="0"/>
              <w:rPr>
                <w:rFonts w:hint="eastAsia" w:ascii="仿宋_GB2312" w:hAnsi="Calibri" w:eastAsia="仿宋_GB2312" w:cs="Times New Roman"/>
                <w:b w:val="0"/>
                <w:bCs w:val="0"/>
                <w:i w:val="0"/>
                <w:iCs w:val="0"/>
                <w:color w:val="000000"/>
                <w:kern w:val="0"/>
                <w:sz w:val="28"/>
                <w:szCs w:val="28"/>
                <w:vertAlign w:val="baseline"/>
                <w:lang w:val="en-US" w:eastAsia="zh-CN" w:bidi="ar"/>
              </w:rPr>
            </w:pPr>
            <w:r>
              <w:rPr>
                <w:rFonts w:hint="eastAsia" w:ascii="CESI楷体-GB2312" w:hAnsi="CESI楷体-GB2312" w:eastAsia="CESI楷体-GB2312" w:cs="CESI楷体-GB2312"/>
                <w:b w:val="0"/>
                <w:bCs w:val="0"/>
                <w:i w:val="0"/>
                <w:iCs w:val="0"/>
                <w:color w:val="000000"/>
                <w:kern w:val="0"/>
                <w:sz w:val="28"/>
                <w:szCs w:val="28"/>
                <w:lang w:val="en-US" w:eastAsia="zh-CN" w:bidi="ar"/>
              </w:rPr>
              <w:t>专栏2 实施金融特色带创新工程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8600" w:type="dxa"/>
            <w:noWrap w:val="0"/>
            <w:vAlign w:val="top"/>
          </w:tcPr>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1.东昌府区依托现有基金培育基础，大力发展产业投资基金，搭建金融资本和高科技企业合作共赢新平台。</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2.冠县聚焦制造业产业升级，加快推进绿色金融领域的改革创新，着力破除产业发展与污染防治之间的矛盾。</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3.茌平依托信发等重点领域龙头企业，以产业链上下游的中小企业为重点，大力发展铝电、化工产业链金融。</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4.莘县依托农业优势，创新乡村特色金融产品，优化金融产品供给结构，全面满足“三农”客户差异化、个性化融资需求。</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5.阳谷县、临清市紧抓“大运河”文化带机遇，创新文旅金融产品，统筹推进文化保护传承和区域高质量发展。</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6.高唐县深入挖掘“书画+锦鲤”特色文化资源，引导金融赋能文旅产业发展，打造中国·高唐书画文创康养产业园、中国锦鲤文旅小镇。</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7.度假区推进“金融+文旅”跨界合作，探索文旅债券、文旅基金等文旅金融产品，助力文旅企业“乘风破浪”。</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8.东阿县围绕打造黄河康养旅游度假区，强化政策、产品支撑，为康养项目、产业发展提供专项金融服务。</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9.开发区围绕小微园区企业创新金融服务，打造“金融+科技+园区+政府”多位一体的园区金融服务模式。</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hAnsi="Calibri" w:eastAsia="仿宋_GB2312" w:cs="Times New Roman"/>
                <w:b w:val="0"/>
                <w:bCs w:val="0"/>
                <w:i w:val="0"/>
                <w:iCs w:val="0"/>
                <w:color w:val="000000"/>
                <w:kern w:val="0"/>
                <w:sz w:val="28"/>
                <w:szCs w:val="28"/>
                <w:vertAlign w:val="baseline"/>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10.高新区以聊城市产业</w:t>
            </w:r>
            <w:r>
              <w:rPr>
                <w:rFonts w:hint="eastAsia" w:ascii="仿宋_GB2312" w:eastAsia="仿宋_GB2312" w:cs="Times New Roman"/>
                <w:i w:val="0"/>
                <w:iCs w:val="0"/>
                <w:color w:val="000000"/>
                <w:kern w:val="0"/>
                <w:sz w:val="28"/>
                <w:szCs w:val="28"/>
                <w:lang w:val="en-US" w:eastAsia="zh-CN" w:bidi="ar"/>
              </w:rPr>
              <w:t>技术</w:t>
            </w:r>
            <w:r>
              <w:rPr>
                <w:rFonts w:hint="eastAsia" w:ascii="仿宋_GB2312" w:eastAsia="仿宋_GB2312" w:cs="Times New Roman" w:hAnsiTheme="minorHAnsi"/>
                <w:i w:val="0"/>
                <w:iCs w:val="0"/>
                <w:color w:val="000000"/>
                <w:kern w:val="0"/>
                <w:sz w:val="28"/>
                <w:szCs w:val="28"/>
                <w:lang w:val="en-US" w:eastAsia="zh-CN" w:bidi="ar"/>
              </w:rPr>
              <w:t>研究院和山东科技金融服务中心聊城中心项目等为载体，探索科技型企业综合服务模式，推动金融、科技深度融合。</w:t>
            </w:r>
          </w:p>
        </w:tc>
      </w:tr>
    </w:tbl>
    <w:p>
      <w:pPr>
        <w:pStyle w:val="9"/>
        <w:rPr>
          <w:rFonts w:hint="eastAsia"/>
          <w:lang w:val="en-US" w:eastAsia="zh-CN"/>
        </w:rPr>
      </w:pPr>
    </w:p>
    <w:p>
      <w:pPr>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cs="Times New Roman"/>
          <w:b w:val="0"/>
          <w:bCs w:val="0"/>
          <w:i w:val="0"/>
          <w:iCs w:val="0"/>
          <w:color w:val="000000"/>
          <w:sz w:val="32"/>
          <w:szCs w:val="32"/>
          <w:lang w:val="en-US" w:eastAsia="zh-CN"/>
        </w:rPr>
      </w:pPr>
    </w:p>
    <w:p>
      <w:pPr>
        <w:pageBreakBefore w:val="0"/>
        <w:widowControl/>
        <w:numPr>
          <w:ilvl w:val="0"/>
          <w:numId w:val="0"/>
        </w:numPr>
        <w:kinsoku/>
        <w:wordWrap/>
        <w:overflowPunct/>
        <w:topLinePunct w:val="0"/>
        <w:autoSpaceDE/>
        <w:autoSpaceDN/>
        <w:bidi w:val="0"/>
        <w:adjustRightInd/>
        <w:snapToGrid/>
        <w:spacing w:line="600" w:lineRule="exact"/>
        <w:ind w:firstLine="720" w:firstLineChars="200"/>
        <w:jc w:val="left"/>
        <w:textAlignment w:val="auto"/>
        <w:rPr>
          <w:rFonts w:hint="eastAsia" w:ascii="黑体" w:hAnsi="黑体" w:eastAsia="黑体" w:cs="CESI黑体-GB2312"/>
          <w:sz w:val="36"/>
          <w:szCs w:val="36"/>
          <w:lang w:eastAsia="zh-CN"/>
        </w:rPr>
      </w:pPr>
      <w:bookmarkStart w:id="60" w:name="_Toc885333632_WPSOffice_Level1"/>
      <w:r>
        <w:rPr>
          <w:rFonts w:hint="eastAsia" w:ascii="黑体" w:hAnsi="黑体" w:eastAsia="黑体" w:cs="CESI黑体-GB2312"/>
          <w:sz w:val="36"/>
          <w:szCs w:val="36"/>
          <w:lang w:val="en-US" w:eastAsia="zh-CN"/>
        </w:rPr>
        <w:t xml:space="preserve">第四部分  </w:t>
      </w:r>
      <w:r>
        <w:rPr>
          <w:rFonts w:hint="eastAsia" w:ascii="黑体" w:hAnsi="黑体" w:eastAsia="黑体" w:cs="CESI黑体-GB2312"/>
          <w:sz w:val="36"/>
          <w:szCs w:val="36"/>
        </w:rPr>
        <w:t>聚焦区域高质量发展</w:t>
      </w:r>
      <w:r>
        <w:rPr>
          <w:rFonts w:hint="eastAsia" w:ascii="黑体" w:hAnsi="黑体" w:eastAsia="黑体" w:cs="CESI黑体-GB2312"/>
          <w:sz w:val="36"/>
          <w:szCs w:val="36"/>
          <w:lang w:val="en-US" w:eastAsia="zh-CN"/>
        </w:rPr>
        <w:t xml:space="preserve"> </w:t>
      </w:r>
      <w:r>
        <w:rPr>
          <w:rFonts w:hint="eastAsia" w:ascii="黑体" w:hAnsi="黑体" w:eastAsia="黑体" w:cs="CESI黑体-GB2312"/>
          <w:sz w:val="36"/>
          <w:szCs w:val="36"/>
          <w:lang w:eastAsia="zh-CN"/>
        </w:rPr>
        <w:t>实施金融赋能工程</w:t>
      </w:r>
      <w:bookmarkEnd w:id="60"/>
    </w:p>
    <w:p>
      <w:pPr>
        <w:keepNext/>
        <w:keepLines/>
        <w:widowControl w:val="0"/>
        <w:numPr>
          <w:ilvl w:val="0"/>
          <w:numId w:val="0"/>
        </w:numPr>
        <w:spacing w:before="0" w:after="0" w:line="560" w:lineRule="exact"/>
        <w:ind w:firstLine="640" w:firstLineChars="200"/>
        <w:jc w:val="center"/>
        <w:outlineLvl w:val="0"/>
        <w:rPr>
          <w:rFonts w:hint="eastAsia" w:ascii="CESI黑体-GB2312" w:hAnsi="CESI黑体-GB2312" w:eastAsia="CESI黑体-GB2312" w:cs="CESI黑体-GB2312"/>
          <w:b w:val="0"/>
          <w:bCs w:val="0"/>
          <w:snapToGrid w:val="0"/>
          <w:kern w:val="0"/>
          <w:sz w:val="32"/>
          <w:szCs w:val="32"/>
          <w:lang w:val="en-US" w:eastAsia="zh-CN" w:bidi="ar-SA"/>
        </w:rPr>
      </w:pPr>
    </w:p>
    <w:p>
      <w:pPr>
        <w:keepNext/>
        <w:keepLines/>
        <w:pageBreakBefore w:val="0"/>
        <w:widowControl w:val="0"/>
        <w:numPr>
          <w:ilvl w:val="0"/>
          <w:numId w:val="5"/>
        </w:numPr>
        <w:kinsoku/>
        <w:wordWrap/>
        <w:overflowPunct/>
        <w:topLinePunct w:val="0"/>
        <w:autoSpaceDE/>
        <w:autoSpaceDN/>
        <w:bidi w:val="0"/>
        <w:adjustRightInd/>
        <w:snapToGrid/>
        <w:spacing w:before="0" w:after="0" w:line="600" w:lineRule="exact"/>
        <w:jc w:val="center"/>
        <w:textAlignment w:val="auto"/>
        <w:outlineLvl w:val="0"/>
        <w:rPr>
          <w:rFonts w:hint="eastAsia" w:ascii="黑体" w:hAnsi="黑体" w:eastAsia="黑体" w:cs="黑体"/>
          <w:b w:val="0"/>
          <w:bCs w:val="0"/>
          <w:snapToGrid w:val="0"/>
          <w:kern w:val="0"/>
          <w:sz w:val="32"/>
          <w:szCs w:val="32"/>
          <w:lang w:val="en-US" w:eastAsia="zh-CN" w:bidi="ar-SA"/>
        </w:rPr>
      </w:pPr>
      <w:bookmarkStart w:id="61" w:name="_Toc518189128_WPSOffice_Level2"/>
      <w:r>
        <w:rPr>
          <w:rFonts w:hint="eastAsia" w:ascii="黑体" w:hAnsi="黑体" w:eastAsia="黑体" w:cs="黑体"/>
          <w:b w:val="0"/>
          <w:bCs w:val="0"/>
          <w:snapToGrid w:val="0"/>
          <w:kern w:val="0"/>
          <w:sz w:val="32"/>
          <w:szCs w:val="32"/>
          <w:lang w:val="en-US" w:eastAsia="zh-CN" w:bidi="ar-SA"/>
        </w:rPr>
        <w:t>构建金融支持制造业发展新格局</w:t>
      </w:r>
      <w:bookmarkEnd w:id="61"/>
    </w:p>
    <w:p>
      <w:pPr>
        <w:pStyle w:val="5"/>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紧紧围绕打造冀鲁豫三省先进制造业基地战略目标，</w:t>
      </w:r>
      <w:r>
        <w:rPr>
          <w:rFonts w:hint="default" w:ascii="仿宋_GB2312" w:eastAsia="仿宋_GB2312" w:cs="Times New Roman"/>
          <w:b w:val="0"/>
          <w:bCs w:val="0"/>
          <w:i w:val="0"/>
          <w:iCs w:val="0"/>
          <w:color w:val="000000"/>
          <w:sz w:val="32"/>
          <w:szCs w:val="32"/>
          <w:lang w:val="en-US" w:eastAsia="zh-CN"/>
        </w:rPr>
        <w:t>引导</w:t>
      </w:r>
      <w:r>
        <w:rPr>
          <w:rFonts w:hint="eastAsia" w:ascii="仿宋_GB2312" w:eastAsia="仿宋_GB2312" w:cs="Times New Roman"/>
          <w:b w:val="0"/>
          <w:bCs w:val="0"/>
          <w:i w:val="0"/>
          <w:iCs w:val="0"/>
          <w:color w:val="000000"/>
          <w:sz w:val="32"/>
          <w:szCs w:val="32"/>
          <w:lang w:val="en-US" w:eastAsia="zh-CN"/>
        </w:rPr>
        <w:t>各类</w:t>
      </w:r>
      <w:r>
        <w:rPr>
          <w:rFonts w:hint="default" w:ascii="仿宋_GB2312" w:eastAsia="仿宋_GB2312" w:cs="Times New Roman"/>
          <w:b w:val="0"/>
          <w:bCs w:val="0"/>
          <w:i w:val="0"/>
          <w:iCs w:val="0"/>
          <w:color w:val="000000"/>
          <w:sz w:val="32"/>
          <w:szCs w:val="32"/>
          <w:lang w:val="en-US" w:eastAsia="zh-CN"/>
        </w:rPr>
        <w:t>金融资源重点支持</w:t>
      </w:r>
      <w:r>
        <w:rPr>
          <w:rFonts w:hint="eastAsia" w:ascii="仿宋_GB2312" w:eastAsia="仿宋_GB2312" w:cs="Times New Roman"/>
          <w:b w:val="0"/>
          <w:bCs w:val="0"/>
          <w:i w:val="0"/>
          <w:iCs w:val="0"/>
          <w:color w:val="000000"/>
          <w:sz w:val="32"/>
          <w:szCs w:val="32"/>
          <w:lang w:val="en-US" w:eastAsia="zh-CN"/>
        </w:rPr>
        <w:t>生物医药、</w:t>
      </w:r>
      <w:r>
        <w:rPr>
          <w:rFonts w:hint="default" w:ascii="仿宋_GB2312" w:eastAsia="仿宋_GB2312" w:cs="Times New Roman"/>
          <w:b w:val="0"/>
          <w:bCs w:val="0"/>
          <w:i w:val="0"/>
          <w:iCs w:val="0"/>
          <w:color w:val="000000"/>
          <w:sz w:val="32"/>
          <w:szCs w:val="32"/>
          <w:lang w:val="en-US" w:eastAsia="zh-CN"/>
        </w:rPr>
        <w:t>新一代信息技术、新材料、新能源</w:t>
      </w:r>
      <w:r>
        <w:rPr>
          <w:rFonts w:hint="eastAsia" w:ascii="仿宋_GB2312" w:eastAsia="仿宋_GB2312" w:cs="Times New Roman"/>
          <w:b w:val="0"/>
          <w:bCs w:val="0"/>
          <w:i w:val="0"/>
          <w:iCs w:val="0"/>
          <w:color w:val="000000"/>
          <w:sz w:val="32"/>
          <w:szCs w:val="32"/>
          <w:lang w:val="en-US" w:eastAsia="zh-CN"/>
        </w:rPr>
        <w:t>等新兴产业发展壮</w:t>
      </w:r>
      <w:r>
        <w:rPr>
          <w:rFonts w:hint="default" w:ascii="仿宋_GB2312" w:eastAsia="仿宋_GB2312" w:cs="Times New Roman"/>
          <w:b w:val="0"/>
          <w:bCs w:val="0"/>
          <w:i w:val="0"/>
          <w:iCs w:val="0"/>
          <w:color w:val="000000"/>
          <w:sz w:val="32"/>
          <w:szCs w:val="32"/>
          <w:lang w:val="en-US" w:eastAsia="zh-CN"/>
        </w:rPr>
        <w:t>大</w:t>
      </w:r>
      <w:r>
        <w:rPr>
          <w:rFonts w:hint="eastAsia" w:ascii="仿宋_GB2312" w:eastAsia="仿宋_GB2312" w:cs="Times New Roman"/>
          <w:b w:val="0"/>
          <w:bCs w:val="0"/>
          <w:i w:val="0"/>
          <w:iCs w:val="0"/>
          <w:color w:val="000000"/>
          <w:sz w:val="32"/>
          <w:szCs w:val="32"/>
          <w:lang w:val="en-US" w:eastAsia="zh-CN"/>
        </w:rPr>
        <w:t>，全力</w:t>
      </w:r>
      <w:r>
        <w:rPr>
          <w:rFonts w:hint="default" w:ascii="仿宋_GB2312" w:eastAsia="仿宋_GB2312" w:cs="Times New Roman"/>
          <w:b w:val="0"/>
          <w:bCs w:val="0"/>
          <w:i w:val="0"/>
          <w:iCs w:val="0"/>
          <w:color w:val="000000"/>
          <w:sz w:val="32"/>
          <w:szCs w:val="32"/>
          <w:lang w:val="en-US" w:eastAsia="zh-CN"/>
        </w:rPr>
        <w:t>助</w:t>
      </w:r>
      <w:r>
        <w:rPr>
          <w:rFonts w:hint="eastAsia" w:ascii="仿宋_GB2312" w:eastAsia="仿宋_GB2312" w:cs="Times New Roman"/>
          <w:b w:val="0"/>
          <w:bCs w:val="0"/>
          <w:i w:val="0"/>
          <w:iCs w:val="0"/>
          <w:color w:val="000000"/>
          <w:sz w:val="32"/>
          <w:szCs w:val="32"/>
          <w:lang w:val="en-US" w:eastAsia="zh-CN"/>
        </w:rPr>
        <w:t>推有色金融及金属深加工、装备制造、农副产品加工、纺织服务、造纸印刷等传统优势产业向</w:t>
      </w:r>
      <w:r>
        <w:rPr>
          <w:rFonts w:hint="default" w:ascii="仿宋_GB2312" w:eastAsia="仿宋_GB2312" w:cs="Times New Roman"/>
          <w:b w:val="0"/>
          <w:bCs w:val="0"/>
          <w:i w:val="0"/>
          <w:iCs w:val="0"/>
          <w:color w:val="000000"/>
          <w:sz w:val="32"/>
          <w:szCs w:val="32"/>
          <w:lang w:val="en-US" w:eastAsia="zh-CN"/>
        </w:rPr>
        <w:t>高端化</w:t>
      </w:r>
      <w:r>
        <w:rPr>
          <w:rFonts w:hint="eastAsia" w:ascii="仿宋_GB2312" w:eastAsia="仿宋_GB2312" w:cs="Times New Roman"/>
          <w:b w:val="0"/>
          <w:bCs w:val="0"/>
          <w:i w:val="0"/>
          <w:iCs w:val="0"/>
          <w:color w:val="000000"/>
          <w:sz w:val="32"/>
          <w:szCs w:val="32"/>
          <w:lang w:val="en-US" w:eastAsia="zh-CN"/>
        </w:rPr>
        <w:t>、</w:t>
      </w:r>
      <w:r>
        <w:rPr>
          <w:rFonts w:hint="default" w:ascii="仿宋_GB2312" w:eastAsia="仿宋_GB2312" w:cs="Times New Roman"/>
          <w:b w:val="0"/>
          <w:bCs w:val="0"/>
          <w:i w:val="0"/>
          <w:iCs w:val="0"/>
          <w:color w:val="000000"/>
          <w:sz w:val="32"/>
          <w:szCs w:val="32"/>
          <w:lang w:val="en-US" w:eastAsia="zh-CN"/>
        </w:rPr>
        <w:t>智能化、绿色化</w:t>
      </w:r>
      <w:r>
        <w:rPr>
          <w:rFonts w:hint="eastAsia" w:ascii="仿宋_GB2312" w:eastAsia="仿宋_GB2312" w:cs="Times New Roman"/>
          <w:b w:val="0"/>
          <w:bCs w:val="0"/>
          <w:i w:val="0"/>
          <w:iCs w:val="0"/>
          <w:color w:val="000000"/>
          <w:sz w:val="32"/>
          <w:szCs w:val="32"/>
          <w:lang w:val="en-US" w:eastAsia="zh-CN"/>
        </w:rPr>
        <w:t>、服务化</w:t>
      </w:r>
      <w:r>
        <w:rPr>
          <w:rFonts w:hint="default" w:ascii="仿宋_GB2312" w:eastAsia="仿宋_GB2312" w:cs="Times New Roman"/>
          <w:b w:val="0"/>
          <w:bCs w:val="0"/>
          <w:i w:val="0"/>
          <w:iCs w:val="0"/>
          <w:color w:val="000000"/>
          <w:sz w:val="32"/>
          <w:szCs w:val="32"/>
          <w:lang w:val="en-US" w:eastAsia="zh-CN"/>
        </w:rPr>
        <w:t>转型</w:t>
      </w:r>
      <w:r>
        <w:rPr>
          <w:rFonts w:hint="eastAsia" w:ascii="仿宋_GB2312" w:eastAsia="仿宋_GB2312" w:cs="Times New Roman"/>
          <w:b w:val="0"/>
          <w:bCs w:val="0"/>
          <w:i w:val="0"/>
          <w:iCs w:val="0"/>
          <w:color w:val="000000"/>
          <w:sz w:val="32"/>
          <w:szCs w:val="32"/>
          <w:lang w:val="en-US" w:eastAsia="zh-CN"/>
        </w:rPr>
        <w:t>，创新符合产业链、</w:t>
      </w:r>
      <w:r>
        <w:rPr>
          <w:rFonts w:hint="default" w:ascii="仿宋_GB2312" w:eastAsia="仿宋_GB2312" w:cs="Times New Roman"/>
          <w:b w:val="0"/>
          <w:bCs w:val="0"/>
          <w:i w:val="0"/>
          <w:iCs w:val="0"/>
          <w:color w:val="000000"/>
          <w:sz w:val="32"/>
          <w:szCs w:val="32"/>
          <w:lang w:val="en-US" w:eastAsia="zh-CN"/>
        </w:rPr>
        <w:t>产业集群</w:t>
      </w:r>
      <w:r>
        <w:rPr>
          <w:rFonts w:hint="eastAsia" w:ascii="仿宋_GB2312" w:eastAsia="仿宋_GB2312" w:cs="Times New Roman"/>
          <w:b w:val="0"/>
          <w:bCs w:val="0"/>
          <w:i w:val="0"/>
          <w:iCs w:val="0"/>
          <w:color w:val="000000"/>
          <w:sz w:val="32"/>
          <w:szCs w:val="32"/>
          <w:lang w:val="en-US" w:eastAsia="zh-CN"/>
        </w:rPr>
        <w:t>特点的</w:t>
      </w:r>
      <w:r>
        <w:rPr>
          <w:rFonts w:hint="default" w:ascii="仿宋_GB2312" w:eastAsia="仿宋_GB2312" w:cs="Times New Roman"/>
          <w:b w:val="0"/>
          <w:bCs w:val="0"/>
          <w:i w:val="0"/>
          <w:iCs w:val="0"/>
          <w:color w:val="000000"/>
          <w:sz w:val="32"/>
          <w:szCs w:val="32"/>
          <w:lang w:val="en-US" w:eastAsia="zh-CN"/>
        </w:rPr>
        <w:t>金融产品和服务</w:t>
      </w:r>
      <w:r>
        <w:rPr>
          <w:rFonts w:hint="eastAsia" w:ascii="仿宋_GB2312" w:eastAsia="仿宋_GB2312" w:cs="Times New Roman"/>
          <w:b w:val="0"/>
          <w:bCs w:val="0"/>
          <w:i w:val="0"/>
          <w:iCs w:val="0"/>
          <w:color w:val="000000"/>
          <w:sz w:val="32"/>
          <w:szCs w:val="32"/>
          <w:lang w:val="en-US" w:eastAsia="zh-CN"/>
        </w:rPr>
        <w:t>，加快形成企业、科技、</w:t>
      </w:r>
      <w:r>
        <w:rPr>
          <w:rFonts w:hint="default" w:ascii="仿宋_GB2312" w:eastAsia="仿宋_GB2312" w:cs="Times New Roman"/>
          <w:b w:val="0"/>
          <w:bCs w:val="0"/>
          <w:i w:val="0"/>
          <w:iCs w:val="0"/>
          <w:color w:val="000000"/>
          <w:sz w:val="32"/>
          <w:szCs w:val="32"/>
          <w:lang w:val="en-US" w:eastAsia="zh-CN"/>
        </w:rPr>
        <w:t>金融、人</w:t>
      </w:r>
      <w:r>
        <w:rPr>
          <w:rFonts w:hint="eastAsia" w:ascii="仿宋_GB2312" w:eastAsia="仿宋_GB2312" w:cs="Times New Roman"/>
          <w:b w:val="0"/>
          <w:bCs w:val="0"/>
          <w:i w:val="0"/>
          <w:iCs w:val="0"/>
          <w:color w:val="000000"/>
          <w:sz w:val="32"/>
          <w:szCs w:val="32"/>
          <w:lang w:val="en-US" w:eastAsia="zh-CN"/>
        </w:rPr>
        <w:t>才</w:t>
      </w:r>
      <w:r>
        <w:rPr>
          <w:rFonts w:hint="default" w:ascii="仿宋_GB2312" w:eastAsia="仿宋_GB2312" w:cs="Times New Roman"/>
          <w:b w:val="0"/>
          <w:bCs w:val="0"/>
          <w:i w:val="0"/>
          <w:iCs w:val="0"/>
          <w:color w:val="000000"/>
          <w:sz w:val="32"/>
          <w:szCs w:val="32"/>
          <w:lang w:val="en-US" w:eastAsia="zh-CN"/>
        </w:rPr>
        <w:t>协同发展的现代产业体系。</w:t>
      </w:r>
      <w:r>
        <w:rPr>
          <w:rFonts w:hint="eastAsia" w:ascii="仿宋_GB2312" w:eastAsia="仿宋_GB2312" w:cs="Times New Roman"/>
          <w:b w:val="0"/>
          <w:bCs w:val="0"/>
          <w:i w:val="0"/>
          <w:i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完善制造业信贷服务体系。</w:t>
      </w:r>
      <w:r>
        <w:rPr>
          <w:rFonts w:hint="eastAsia" w:ascii="仿宋_GB2312" w:eastAsia="仿宋_GB2312" w:cs="Times New Roman"/>
          <w:b w:val="0"/>
          <w:bCs w:val="0"/>
          <w:i w:val="0"/>
          <w:iCs w:val="0"/>
          <w:color w:val="000000"/>
          <w:sz w:val="32"/>
          <w:szCs w:val="32"/>
          <w:lang w:val="en-US" w:eastAsia="zh-CN"/>
        </w:rPr>
        <w:t>完善重点制造业企业金融需求收集和跟踪落实机制，加强产业主管部门与金融管理部门的信息共享，推动金融机构与制造业企业及时高效对接。引导银行强化信贷政策落实，全面支持新兴产业发展壮</w:t>
      </w:r>
      <w:r>
        <w:rPr>
          <w:rFonts w:hint="default" w:ascii="仿宋_GB2312" w:eastAsia="仿宋_GB2312" w:cs="Times New Roman"/>
          <w:b w:val="0"/>
          <w:bCs w:val="0"/>
          <w:i w:val="0"/>
          <w:iCs w:val="0"/>
          <w:color w:val="000000"/>
          <w:sz w:val="32"/>
          <w:szCs w:val="32"/>
          <w:lang w:val="en-US" w:eastAsia="zh-CN"/>
        </w:rPr>
        <w:t>大</w:t>
      </w:r>
      <w:r>
        <w:rPr>
          <w:rFonts w:hint="eastAsia" w:ascii="仿宋_GB2312" w:eastAsia="仿宋_GB2312" w:cs="Times New Roman"/>
          <w:b w:val="0"/>
          <w:bCs w:val="0"/>
          <w:i w:val="0"/>
          <w:iCs w:val="0"/>
          <w:color w:val="000000"/>
          <w:sz w:val="32"/>
          <w:szCs w:val="32"/>
          <w:lang w:val="en-US" w:eastAsia="zh-CN"/>
        </w:rPr>
        <w:t>，全力</w:t>
      </w:r>
      <w:r>
        <w:rPr>
          <w:rFonts w:hint="default" w:ascii="仿宋_GB2312" w:eastAsia="仿宋_GB2312" w:cs="Times New Roman"/>
          <w:b w:val="0"/>
          <w:bCs w:val="0"/>
          <w:i w:val="0"/>
          <w:iCs w:val="0"/>
          <w:color w:val="000000"/>
          <w:sz w:val="32"/>
          <w:szCs w:val="32"/>
          <w:lang w:val="en-US" w:eastAsia="zh-CN"/>
        </w:rPr>
        <w:t>助</w:t>
      </w:r>
      <w:r>
        <w:rPr>
          <w:rFonts w:hint="eastAsia" w:ascii="仿宋_GB2312" w:eastAsia="仿宋_GB2312" w:cs="Times New Roman"/>
          <w:b w:val="0"/>
          <w:bCs w:val="0"/>
          <w:i w:val="0"/>
          <w:iCs w:val="0"/>
          <w:color w:val="000000"/>
          <w:sz w:val="32"/>
          <w:szCs w:val="32"/>
          <w:lang w:val="en-US" w:eastAsia="zh-CN"/>
        </w:rPr>
        <w:t>推传统优势产业转型升级，逐步扩大制造业中长期贷款、信用贷款规模，增加技改贷款，保持制造业贷款合理增速，实现制造业贷款户数稳定增长。引导银行在制造业聚集区设立特色支行，将企业技术、人才、市场前景等“软信息”纳入银行客户信用评价体系，在信贷审批、风险偏好等方面实施差异化管理。围绕重点产业集群，</w:t>
      </w:r>
      <w:r>
        <w:rPr>
          <w:rFonts w:hint="default" w:ascii="仿宋_GB2312" w:eastAsia="仿宋_GB2312" w:cs="Times New Roman"/>
          <w:b w:val="0"/>
          <w:bCs w:val="0"/>
          <w:i w:val="0"/>
          <w:iCs w:val="0"/>
          <w:color w:val="000000"/>
          <w:sz w:val="32"/>
          <w:szCs w:val="32"/>
          <w:lang w:val="en-US" w:eastAsia="zh-CN"/>
        </w:rPr>
        <w:t>发挥政府引导作用，通过政府性融资担保机构、政府投资基金、“园区＋金融”等渠道模式，</w:t>
      </w:r>
      <w:r>
        <w:rPr>
          <w:rFonts w:hint="eastAsia" w:ascii="仿宋_GB2312" w:eastAsia="仿宋_GB2312" w:cs="Times New Roman"/>
          <w:b w:val="0"/>
          <w:bCs w:val="0"/>
          <w:i w:val="0"/>
          <w:iCs w:val="0"/>
          <w:color w:val="000000"/>
          <w:sz w:val="32"/>
          <w:szCs w:val="32"/>
          <w:lang w:val="en-US" w:eastAsia="zh-CN"/>
        </w:rPr>
        <w:t>探索开展“集群快贷”等业务，</w:t>
      </w:r>
      <w:r>
        <w:rPr>
          <w:rFonts w:hint="default" w:ascii="仿宋_GB2312" w:eastAsia="仿宋_GB2312" w:cs="Times New Roman"/>
          <w:b w:val="0"/>
          <w:bCs w:val="0"/>
          <w:i w:val="0"/>
          <w:iCs w:val="0"/>
          <w:color w:val="000000"/>
          <w:sz w:val="32"/>
          <w:szCs w:val="32"/>
          <w:lang w:val="en-US" w:eastAsia="zh-CN"/>
        </w:rPr>
        <w:t>撬动金融资源加大对产业链、产业集群支持力度。</w:t>
      </w:r>
      <w:r>
        <w:rPr>
          <w:rFonts w:hint="eastAsia" w:ascii="仿宋_GB2312" w:eastAsia="仿宋_GB2312" w:cs="Times New Roman"/>
          <w:b w:val="0"/>
          <w:bCs w:val="0"/>
          <w:i w:val="0"/>
          <w:iCs w:val="0"/>
          <w:color w:val="000000"/>
          <w:sz w:val="32"/>
          <w:szCs w:val="32"/>
          <w:lang w:val="en-US" w:eastAsia="zh-CN"/>
        </w:rPr>
        <w:t>引导银行围绕产业链供应链核心企业，“一企一策”制定覆盖上下游小微企业的综合金融服务方案，有序发展面向上下游小微企业产业链金融服务。充分发挥财政资金引导示范作用，建立专精特新、瞪羚企业、单项冠军等优质企业贷款风险补偿金或贴息资金，</w:t>
      </w:r>
      <w:r>
        <w:rPr>
          <w:rFonts w:hint="default" w:ascii="仿宋_GB2312" w:eastAsia="仿宋_GB2312" w:cs="Times New Roman"/>
          <w:b w:val="0"/>
          <w:bCs w:val="0"/>
          <w:i w:val="0"/>
          <w:iCs w:val="0"/>
          <w:color w:val="000000"/>
          <w:sz w:val="32"/>
          <w:szCs w:val="32"/>
          <w:lang w:val="en-US" w:eastAsia="zh-CN"/>
        </w:rPr>
        <w:t>加大政府性融资担保支持力度</w:t>
      </w:r>
      <w:r>
        <w:rPr>
          <w:rFonts w:hint="eastAsia" w:ascii="仿宋_GB2312" w:eastAsia="仿宋_GB2312" w:cs="Times New Roman"/>
          <w:b w:val="0"/>
          <w:bCs w:val="0"/>
          <w:i w:val="0"/>
          <w:i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强化多元化融资体系。</w:t>
      </w:r>
      <w:r>
        <w:rPr>
          <w:rFonts w:hint="eastAsia" w:ascii="仿宋_GB2312" w:eastAsia="仿宋_GB2312" w:cs="Times New Roman"/>
          <w:b w:val="0"/>
          <w:bCs w:val="0"/>
          <w:i w:val="0"/>
          <w:iCs w:val="0"/>
          <w:color w:val="000000"/>
          <w:sz w:val="32"/>
          <w:szCs w:val="32"/>
          <w:lang w:val="en-US" w:eastAsia="zh-CN"/>
        </w:rPr>
        <w:t>积极引进对接创业投资基金、天使投资人等创业投资主体，助推种子期、初创期企业完成从科技研发到商业推广的成长。引进发展产业投资基金，鼓励引导产业投资基金投向先进制造业领域的重点项目、重点企业。完善上市扶持政策，加强上市后备企业尤其专精特新“小巨人”企业、制造业“单项冠军”“隐形冠军”等的培育。支持符合条件的龙头企业在银行间市场和交易所市场发行各类债券融资，支持辖区内注册的挂牌新三板企业发行双创公司债。鼓励设立或引进融资性租赁公司，充分发挥融资租赁业务支持企业融资与融物的双重功能，支持制造业企业实施设备更新改造和智能升级、扩大产品销售和出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default" w:ascii="仿宋_GB2312" w:eastAsia="仿宋_GB2312" w:cs="Times New Roman"/>
          <w:b/>
          <w:bCs/>
          <w:i w:val="0"/>
          <w:iCs w:val="0"/>
          <w:color w:val="000000"/>
          <w:sz w:val="32"/>
          <w:szCs w:val="32"/>
          <w:lang w:val="en-US" w:eastAsia="zh-CN"/>
        </w:rPr>
        <w:t>完善制造业保险服务。</w:t>
      </w:r>
      <w:r>
        <w:rPr>
          <w:rFonts w:hint="default" w:ascii="仿宋_GB2312" w:eastAsia="仿宋_GB2312" w:cs="Times New Roman"/>
          <w:b w:val="0"/>
          <w:bCs w:val="0"/>
          <w:i w:val="0"/>
          <w:iCs w:val="0"/>
          <w:color w:val="000000"/>
          <w:sz w:val="32"/>
          <w:szCs w:val="32"/>
          <w:lang w:val="en-US" w:eastAsia="zh-CN"/>
        </w:rPr>
        <w:t>加大制造业企业产品质量和产品责任保险推广力度，保障企业基础风险服务需求。争取保险资金通过债权、股权、保险私募基金、资产支持计划等方式，为制造业转型升级提供低成本稳定资金来源。</w:t>
      </w:r>
      <w:r>
        <w:rPr>
          <w:rFonts w:hint="eastAsia" w:ascii="仿宋_GB2312" w:eastAsia="仿宋_GB2312" w:cs="Times New Roman"/>
          <w:b w:val="0"/>
          <w:bCs w:val="0"/>
          <w:i w:val="0"/>
          <w:iCs w:val="0"/>
          <w:color w:val="000000"/>
          <w:sz w:val="32"/>
          <w:szCs w:val="32"/>
          <w:lang w:val="en-US" w:eastAsia="zh-CN"/>
        </w:rPr>
        <w:t>鼓励保险机构创新发展科技保险，</w:t>
      </w:r>
      <w:r>
        <w:rPr>
          <w:rFonts w:hint="default" w:ascii="Times New Roman" w:hAnsi="Times New Roman" w:eastAsia="仿宋_GB2312" w:cs="Times New Roman"/>
          <w:b w:val="0"/>
          <w:bCs w:val="0"/>
          <w:i w:val="0"/>
          <w:iCs w:val="0"/>
          <w:color w:val="000000"/>
          <w:sz w:val="32"/>
          <w:szCs w:val="32"/>
          <w:lang w:val="en-US" w:eastAsia="zh-CN"/>
        </w:rPr>
        <w:t>推进首台（套）技术装备保险，探索推动关键核心零部件、首批（次）新材料、首版（次）软件产品的质量保证保险和产品综合险</w:t>
      </w:r>
      <w:r>
        <w:rPr>
          <w:rFonts w:hint="eastAsia" w:ascii="仿宋_GB2312" w:eastAsia="仿宋_GB2312" w:cs="Times New Roman"/>
          <w:b w:val="0"/>
          <w:bCs w:val="0"/>
          <w:i w:val="0"/>
          <w:iCs w:val="0"/>
          <w:color w:val="000000"/>
          <w:sz w:val="32"/>
          <w:szCs w:val="32"/>
          <w:lang w:val="en-US" w:eastAsia="zh-CN"/>
        </w:rPr>
        <w:t>，为企业提供全方位支持。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rPr>
      </w:pPr>
      <w:r>
        <w:rPr>
          <w:rFonts w:hint="eastAsia" w:ascii="仿宋_GB2312" w:eastAsia="仿宋_GB2312" w:cs="Times New Roman"/>
          <w:b/>
          <w:bCs/>
          <w:i w:val="0"/>
          <w:iCs w:val="0"/>
          <w:color w:val="000000"/>
          <w:sz w:val="32"/>
          <w:szCs w:val="32"/>
          <w:lang w:val="en-US" w:eastAsia="zh-CN"/>
        </w:rPr>
        <w:t>支持制造业跨境贸易与融资。</w:t>
      </w:r>
      <w:r>
        <w:rPr>
          <w:rFonts w:hint="eastAsia" w:ascii="仿宋_GB2312" w:eastAsia="仿宋_GB2312" w:cs="Times New Roman"/>
          <w:b w:val="0"/>
          <w:bCs w:val="0"/>
          <w:i w:val="0"/>
          <w:iCs w:val="0"/>
          <w:color w:val="000000"/>
          <w:sz w:val="32"/>
          <w:szCs w:val="32"/>
          <w:lang w:val="en-US" w:eastAsia="zh-CN"/>
        </w:rPr>
        <w:t>落实山东自贸试验区、上合示范区等区域性金融政策，深化提高制造业企业在人民币跨境贸易结算、跨境投融资、经常项目外汇收支等方面便利化程度。引导银行为制造业企业提供跨境并购贷款和项目贷款、内保外贷等跨境金融服务，支持企业在全球范围布局产业链、供应链、价值链。加强与境外资本市场和金融中介机构合作，引导制造业企业通过在境外上市、发债、获得离岸人民币贷款等方式获得资金支持。完善对跨境电商的金融支持。</w:t>
      </w:r>
    </w:p>
    <w:tbl>
      <w:tblPr>
        <w:tblStyle w:val="20"/>
        <w:tblpPr w:leftFromText="180" w:rightFromText="180" w:vertAnchor="text" w:horzAnchor="page" w:tblpX="1701" w:tblpY="95"/>
        <w:tblOverlap w:val="never"/>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340" w:type="dxa"/>
            <w:tcBorders>
              <w:bottom w:val="single" w:color="auto" w:sz="4" w:space="0"/>
            </w:tcBorders>
          </w:tcPr>
          <w:p>
            <w:pPr>
              <w:keepNext/>
              <w:keepLines/>
              <w:widowControl w:val="0"/>
              <w:numPr>
                <w:ilvl w:val="0"/>
                <w:numId w:val="0"/>
              </w:numPr>
              <w:spacing w:before="0" w:after="0" w:line="560" w:lineRule="exact"/>
              <w:jc w:val="center"/>
              <w:outlineLvl w:val="0"/>
              <w:rPr>
                <w:rFonts w:hint="default" w:eastAsia="SimSun-ExtB"/>
                <w:sz w:val="28"/>
                <w:szCs w:val="28"/>
                <w:vertAlign w:val="baseline"/>
                <w:lang w:val="en-US" w:eastAsia="zh-CN"/>
              </w:rPr>
            </w:pPr>
            <w:r>
              <w:rPr>
                <w:rFonts w:hint="eastAsia" w:ascii="CESI楷体-GB2312" w:hAnsi="CESI楷体-GB2312" w:eastAsia="CESI楷体-GB2312" w:cs="CESI楷体-GB2312"/>
                <w:b w:val="0"/>
                <w:bCs w:val="0"/>
                <w:i w:val="0"/>
                <w:iCs w:val="0"/>
                <w:color w:val="000000"/>
                <w:sz w:val="28"/>
                <w:szCs w:val="28"/>
                <w:lang w:val="en-US" w:eastAsia="zh-CN"/>
              </w:rPr>
              <w:t>专栏3： 发展供应链金融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340" w:type="dxa"/>
            <w:tcBorders>
              <w:top w:val="single" w:color="auto" w:sz="4" w:space="0"/>
              <w:left w:val="single" w:color="auto" w:sz="4" w:space="0"/>
              <w:bottom w:val="single" w:color="auto" w:sz="4" w:space="0"/>
              <w:right w:val="single" w:color="auto" w:sz="4" w:space="0"/>
            </w:tcBorders>
          </w:tcPr>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560" w:firstLineChars="200"/>
              <w:jc w:val="left"/>
              <w:rPr>
                <w:rFonts w:hint="eastAsia" w:ascii="仿宋_GB2312" w:eastAsia="仿宋_GB2312" w:cs="Times New Roman" w:hAnsiTheme="minorHAnsi"/>
                <w:b w:val="0"/>
                <w:bCs w:val="0"/>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1.开辟服务绿色通道。鼓励金融机构及时响应先进制造业等关键领域核心企业融资需求，综合运用各类金融产品服务，支持核心企业提高融资能力和流动性管理水平，畅通和稳定上下游产业链条。</w:t>
            </w:r>
          </w:p>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560" w:firstLineChars="200"/>
              <w:jc w:val="left"/>
              <w:rPr>
                <w:rFonts w:hint="eastAsia" w:ascii="仿宋_GB2312" w:eastAsia="仿宋_GB2312" w:cs="Times New Roman" w:hAnsiTheme="minorHAnsi"/>
                <w:b w:val="0"/>
                <w:bCs w:val="0"/>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2.提高金融服务水平。鼓励金融机构积极对接应收账款融资服务平台、人民银行认可的供应链票据平台等第三方供应链平台，支持核心企业签发供应链票据。鼓励金融机构依法合规发展企业应收账款、存货、仓单等权利质押贷款，</w:t>
            </w:r>
            <w:r>
              <w:rPr>
                <w:rFonts w:hint="default" w:ascii="仿宋_GB2312" w:eastAsia="仿宋_GB2312" w:cs="Times New Roman" w:hAnsiTheme="minorHAnsi"/>
                <w:b w:val="0"/>
                <w:bCs w:val="0"/>
                <w:i w:val="0"/>
                <w:iCs w:val="0"/>
                <w:color w:val="000000"/>
                <w:kern w:val="0"/>
                <w:sz w:val="28"/>
                <w:szCs w:val="28"/>
                <w:lang w:val="en-US" w:eastAsia="zh-CN" w:bidi="ar"/>
              </w:rPr>
              <w:t>推广供应链票据融资，探索推进营业中断保险、仓单财产保险等供应链金融产品</w:t>
            </w:r>
            <w:r>
              <w:rPr>
                <w:rFonts w:hint="eastAsia" w:ascii="仿宋_GB2312" w:eastAsia="仿宋_GB2312" w:cs="Times New Roman" w:hAnsiTheme="minorHAnsi"/>
                <w:b w:val="0"/>
                <w:bCs w:val="0"/>
                <w:i w:val="0"/>
                <w:iCs w:val="0"/>
                <w:color w:val="000000"/>
                <w:kern w:val="0"/>
                <w:sz w:val="28"/>
                <w:szCs w:val="28"/>
                <w:lang w:val="en-US" w:eastAsia="zh-CN" w:bidi="ar"/>
              </w:rPr>
              <w:t>。</w:t>
            </w:r>
          </w:p>
          <w:p>
            <w:pPr>
              <w:ind w:firstLine="560" w:firstLineChars="200"/>
              <w:rPr>
                <w:rFonts w:hint="default" w:eastAsia="宋体"/>
                <w:sz w:val="28"/>
                <w:szCs w:val="28"/>
                <w:lang w:val="en-US" w:eastAsia="zh-CN"/>
              </w:rPr>
            </w:pPr>
            <w:r>
              <w:rPr>
                <w:rFonts w:hint="eastAsia" w:ascii="仿宋_GB2312" w:eastAsia="仿宋_GB2312" w:cs="Times New Roman" w:hAnsiTheme="minorHAnsi"/>
                <w:b w:val="0"/>
                <w:bCs w:val="0"/>
                <w:i w:val="0"/>
                <w:iCs w:val="0"/>
                <w:color w:val="000000"/>
                <w:kern w:val="0"/>
                <w:sz w:val="28"/>
                <w:szCs w:val="28"/>
                <w:lang w:val="en-US" w:eastAsia="zh-CN" w:bidi="ar"/>
              </w:rPr>
              <w:t>3.建立产业链金融顾问制度。遴选对相关产业研究深入、经验丰富且业务精湛的金融从业人员组建金融顾问团队，全方位、“一对一”服务，为产业链现代化发展提供结算、融资、财务管理等综合解决方案。</w:t>
            </w:r>
          </w:p>
        </w:tc>
      </w:tr>
    </w:tbl>
    <w:p>
      <w:pPr>
        <w:keepNext/>
        <w:keepLines/>
        <w:pageBreakBefore w:val="0"/>
        <w:widowControl w:val="0"/>
        <w:numPr>
          <w:ilvl w:val="0"/>
          <w:numId w:val="0"/>
        </w:numPr>
        <w:kinsoku/>
        <w:wordWrap/>
        <w:overflowPunct/>
        <w:topLinePunct w:val="0"/>
        <w:autoSpaceDE/>
        <w:autoSpaceDN/>
        <w:bidi w:val="0"/>
        <w:adjustRightInd/>
        <w:snapToGrid/>
        <w:spacing w:before="0" w:after="0" w:line="600" w:lineRule="exact"/>
        <w:jc w:val="center"/>
        <w:textAlignment w:val="auto"/>
        <w:outlineLvl w:val="0"/>
        <w:rPr>
          <w:rFonts w:hint="eastAsia" w:ascii="黑体" w:hAnsi="黑体" w:eastAsia="黑体" w:cs="黑体"/>
          <w:b w:val="0"/>
          <w:bCs w:val="0"/>
          <w:snapToGrid w:val="0"/>
          <w:kern w:val="0"/>
          <w:sz w:val="32"/>
          <w:szCs w:val="32"/>
          <w:lang w:val="en-US" w:eastAsia="zh-CN" w:bidi="ar-SA"/>
        </w:rPr>
      </w:pPr>
    </w:p>
    <w:p>
      <w:pPr>
        <w:keepNext/>
        <w:keepLines/>
        <w:pageBreakBefore w:val="0"/>
        <w:widowControl w:val="0"/>
        <w:numPr>
          <w:ilvl w:val="0"/>
          <w:numId w:val="5"/>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62" w:name="_Toc1830006441_WPSOffice_Level2"/>
      <w:r>
        <w:rPr>
          <w:rFonts w:hint="eastAsia" w:ascii="CESI黑体-GB2312" w:hAnsi="CESI黑体-GB2312" w:eastAsia="CESI黑体-GB2312" w:cs="CESI黑体-GB2312"/>
          <w:sz w:val="32"/>
          <w:szCs w:val="32"/>
          <w:lang w:eastAsia="zh-CN"/>
        </w:rPr>
        <w:t>培育</w:t>
      </w:r>
      <w:r>
        <w:rPr>
          <w:rFonts w:hint="eastAsia" w:ascii="CESI黑体-GB2312" w:hAnsi="CESI黑体-GB2312" w:eastAsia="CESI黑体-GB2312" w:cs="CESI黑体-GB2312"/>
          <w:sz w:val="32"/>
          <w:szCs w:val="32"/>
        </w:rPr>
        <w:t>金融支持科创</w:t>
      </w:r>
      <w:r>
        <w:rPr>
          <w:rFonts w:hint="eastAsia" w:ascii="CESI黑体-GB2312" w:hAnsi="CESI黑体-GB2312" w:eastAsia="CESI黑体-GB2312" w:cs="CESI黑体-GB2312"/>
          <w:sz w:val="32"/>
          <w:szCs w:val="32"/>
          <w:lang w:eastAsia="zh-CN"/>
        </w:rPr>
        <w:t>发展</w:t>
      </w:r>
      <w:r>
        <w:rPr>
          <w:rFonts w:hint="eastAsia" w:ascii="CESI黑体-GB2312" w:hAnsi="CESI黑体-GB2312" w:eastAsia="CESI黑体-GB2312" w:cs="CESI黑体-GB2312"/>
          <w:sz w:val="32"/>
          <w:szCs w:val="32"/>
        </w:rPr>
        <w:t>新</w:t>
      </w:r>
      <w:r>
        <w:rPr>
          <w:rFonts w:hint="eastAsia" w:ascii="CESI黑体-GB2312" w:hAnsi="CESI黑体-GB2312" w:eastAsia="CESI黑体-GB2312" w:cs="CESI黑体-GB2312"/>
          <w:sz w:val="32"/>
          <w:szCs w:val="32"/>
          <w:lang w:eastAsia="zh-CN"/>
        </w:rPr>
        <w:t>动能</w:t>
      </w:r>
      <w:bookmarkEnd w:id="62"/>
    </w:p>
    <w:p>
      <w:pPr>
        <w:pStyle w:val="5"/>
        <w:numPr>
          <w:ilvl w:val="0"/>
          <w:numId w:val="0"/>
        </w:numPr>
        <w:ind w:leftChars="0"/>
        <w:rPr>
          <w:rFonts w:hint="eastAsia"/>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val="0"/>
          <w:bCs w:val="0"/>
          <w:snapToGrid w:val="0"/>
          <w:kern w:val="0"/>
          <w:sz w:val="32"/>
          <w:szCs w:val="32"/>
          <w:lang w:val="en-US" w:eastAsia="zh-CN" w:bidi="ar-SA"/>
        </w:rPr>
        <w:t>遵循科技创新企业成长规律，完善科创金融服务体系、</w:t>
      </w:r>
      <w:r>
        <w:rPr>
          <w:rFonts w:hint="default" w:ascii="CESI仿宋-GB2312" w:hAnsi="CESI仿宋-GB2312" w:eastAsia="CESI仿宋-GB2312" w:cs="CESI仿宋-GB2312"/>
          <w:b w:val="0"/>
          <w:bCs w:val="0"/>
          <w:snapToGrid w:val="0"/>
          <w:kern w:val="0"/>
          <w:sz w:val="32"/>
          <w:szCs w:val="32"/>
          <w:lang w:val="en-US" w:eastAsia="zh-CN" w:bidi="ar-SA"/>
        </w:rPr>
        <w:t>创新科技金融产品和服务，</w:t>
      </w:r>
      <w:r>
        <w:rPr>
          <w:rFonts w:hint="eastAsia" w:ascii="CESI仿宋-GB2312" w:hAnsi="CESI仿宋-GB2312" w:eastAsia="CESI仿宋-GB2312" w:cs="CESI仿宋-GB2312"/>
          <w:b w:val="0"/>
          <w:bCs w:val="0"/>
          <w:snapToGrid w:val="0"/>
          <w:kern w:val="0"/>
          <w:sz w:val="32"/>
          <w:szCs w:val="32"/>
          <w:lang w:val="en-US" w:eastAsia="zh-CN" w:bidi="ar-SA"/>
        </w:rPr>
        <w:t>推动科创企业加快上市，</w:t>
      </w:r>
      <w:r>
        <w:rPr>
          <w:rFonts w:hint="default" w:ascii="CESI仿宋-GB2312" w:hAnsi="CESI仿宋-GB2312" w:eastAsia="CESI仿宋-GB2312" w:cs="CESI仿宋-GB2312"/>
          <w:b w:val="0"/>
          <w:bCs w:val="0"/>
          <w:snapToGrid w:val="0"/>
          <w:kern w:val="0"/>
          <w:sz w:val="32"/>
          <w:szCs w:val="32"/>
          <w:lang w:val="en-US" w:eastAsia="zh-CN" w:bidi="ar-SA"/>
        </w:rPr>
        <w:t>建立适应科技创新全生命周期需求的金融</w:t>
      </w:r>
      <w:r>
        <w:rPr>
          <w:rFonts w:hint="eastAsia" w:ascii="CESI仿宋-GB2312" w:hAnsi="CESI仿宋-GB2312" w:eastAsia="CESI仿宋-GB2312" w:cs="CESI仿宋-GB2312"/>
          <w:b w:val="0"/>
          <w:bCs w:val="0"/>
          <w:snapToGrid w:val="0"/>
          <w:kern w:val="0"/>
          <w:sz w:val="32"/>
          <w:szCs w:val="32"/>
          <w:lang w:val="en-US" w:eastAsia="zh-CN" w:bidi="ar-SA"/>
        </w:rPr>
        <w:t>供给</w:t>
      </w:r>
      <w:r>
        <w:rPr>
          <w:rFonts w:hint="default" w:ascii="CESI仿宋-GB2312" w:hAnsi="CESI仿宋-GB2312" w:eastAsia="CESI仿宋-GB2312" w:cs="CESI仿宋-GB2312"/>
          <w:b w:val="0"/>
          <w:bCs w:val="0"/>
          <w:snapToGrid w:val="0"/>
          <w:kern w:val="0"/>
          <w:sz w:val="32"/>
          <w:szCs w:val="32"/>
          <w:lang w:val="en-US" w:eastAsia="zh-CN" w:bidi="ar-SA"/>
        </w:rPr>
        <w:t>体系。</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bCs/>
          <w:snapToGrid w:val="0"/>
          <w:kern w:val="0"/>
          <w:sz w:val="32"/>
          <w:szCs w:val="32"/>
          <w:lang w:val="en-US" w:eastAsia="zh-CN" w:bidi="ar-SA"/>
        </w:rPr>
        <w:t>改革金融机构内部机制。</w:t>
      </w:r>
      <w:r>
        <w:rPr>
          <w:rFonts w:hint="eastAsia" w:ascii="CESI仿宋-GB2312" w:hAnsi="CESI仿宋-GB2312" w:eastAsia="CESI仿宋-GB2312" w:cs="CESI仿宋-GB2312"/>
          <w:b w:val="0"/>
          <w:bCs w:val="0"/>
          <w:snapToGrid w:val="0"/>
          <w:kern w:val="0"/>
          <w:sz w:val="32"/>
          <w:szCs w:val="32"/>
          <w:lang w:val="en-US" w:eastAsia="zh-CN" w:bidi="ar-SA"/>
        </w:rPr>
        <w:t>鼓励在开发区、高新区等科技资源禀赋较好地区设立科技支行等科技专营机构，强化授权赋能创新，发挥专业化优势。引导金融机构调整授信政策、改革风控机制及绩效考核和激励机制，加强科创型金融人才的培养，完善和落实尽职免责制度，从内部机制上解决对科创企业“不敢投（贷、保）、不愿投（贷、保）”问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bCs/>
          <w:snapToGrid w:val="0"/>
          <w:kern w:val="0"/>
          <w:sz w:val="32"/>
          <w:szCs w:val="32"/>
          <w:lang w:val="en-US" w:eastAsia="zh-CN" w:bidi="ar-SA"/>
        </w:rPr>
        <w:t>强化资本市场功能运用。</w:t>
      </w:r>
      <w:r>
        <w:rPr>
          <w:rFonts w:hint="eastAsia" w:ascii="CESI仿宋-GB2312" w:hAnsi="CESI仿宋-GB2312" w:eastAsia="CESI仿宋-GB2312" w:cs="CESI仿宋-GB2312"/>
          <w:b w:val="0"/>
          <w:bCs w:val="0"/>
          <w:snapToGrid w:val="0"/>
          <w:kern w:val="0"/>
          <w:sz w:val="32"/>
          <w:szCs w:val="32"/>
          <w:lang w:val="en-US" w:eastAsia="zh-CN" w:bidi="ar-SA"/>
        </w:rPr>
        <w:t>将科创企业纳入市上市后备企业，为其提供全链条、系统化培育指导，推动符合国家战略、拥有关键核心技术、科技创新能力突出的企业和创新创业创意企业到科创板、创业板、新三板精选层挂牌上市。鼓励符合条件的科创企业通过“双创债”等债券工具，实现低成本、高效率融资。</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bCs/>
          <w:snapToGrid w:val="0"/>
          <w:kern w:val="0"/>
          <w:sz w:val="32"/>
          <w:szCs w:val="32"/>
          <w:lang w:val="en-US" w:eastAsia="zh-CN" w:bidi="ar-SA"/>
        </w:rPr>
        <w:t>优化升级现有人才服务金融产品。</w:t>
      </w:r>
      <w:r>
        <w:rPr>
          <w:rFonts w:hint="eastAsia" w:ascii="CESI仿宋-GB2312" w:hAnsi="CESI仿宋-GB2312" w:eastAsia="CESI仿宋-GB2312" w:cs="CESI仿宋-GB2312"/>
          <w:b w:val="0"/>
          <w:bCs w:val="0"/>
          <w:snapToGrid w:val="0"/>
          <w:kern w:val="0"/>
          <w:sz w:val="32"/>
          <w:szCs w:val="32"/>
          <w:lang w:val="en-US" w:eastAsia="zh-CN" w:bidi="ar-SA"/>
        </w:rPr>
        <w:t>针对科创型企业以“人”为中心，智力密集型的特点，建立完善“人才贷”、落实“人才保”等政策，对接区域股权市场人才板，解决高层次人才创业后顾之忧，激发创新创业热情。</w:t>
      </w:r>
    </w:p>
    <w:p>
      <w:pPr>
        <w:pStyle w:val="5"/>
        <w:keepNext/>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bCs/>
          <w:snapToGrid w:val="0"/>
          <w:kern w:val="0"/>
          <w:sz w:val="32"/>
          <w:szCs w:val="32"/>
          <w:lang w:val="en-US" w:eastAsia="zh-CN" w:bidi="ar-SA"/>
        </w:rPr>
        <w:t>强化财政金融政策协同联动。</w:t>
      </w:r>
      <w:r>
        <w:rPr>
          <w:rFonts w:hint="eastAsia" w:ascii="CESI仿宋-GB2312" w:hAnsi="CESI仿宋-GB2312" w:eastAsia="CESI仿宋-GB2312" w:cs="CESI仿宋-GB2312"/>
          <w:b w:val="0"/>
          <w:bCs w:val="0"/>
          <w:snapToGrid w:val="0"/>
          <w:kern w:val="0"/>
          <w:sz w:val="32"/>
          <w:szCs w:val="32"/>
          <w:lang w:val="en-US" w:eastAsia="zh-CN" w:bidi="ar-SA"/>
        </w:rPr>
        <w:t>不断健全完善科技成果转化贷款、人才贷风险贷款贴息、风险补偿等政策工作，提高中小微科技企业信贷可得性、降低融资成本。逐步扩大聊城市高新技术企业信贷风险补偿资金池规模。</w:t>
      </w:r>
    </w:p>
    <w:p>
      <w:pPr>
        <w:pStyle w:val="5"/>
        <w:keepNext/>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val="0"/>
          <w:bCs w:val="0"/>
          <w:snapToGrid w:val="0"/>
          <w:kern w:val="0"/>
          <w:sz w:val="32"/>
          <w:szCs w:val="32"/>
          <w:lang w:val="en-US" w:eastAsia="zh-CN" w:bidi="ar-SA"/>
        </w:rPr>
        <w:t xml:space="preserve">      </w:t>
      </w:r>
    </w:p>
    <w:p>
      <w:pPr>
        <w:keepNext/>
        <w:keepLines/>
        <w:pageBreakBefore w:val="0"/>
        <w:widowControl w:val="0"/>
        <w:numPr>
          <w:ilvl w:val="0"/>
          <w:numId w:val="5"/>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63" w:name="_Toc1974951631_WPSOffice_Level2"/>
      <w:r>
        <w:rPr>
          <w:rFonts w:hint="eastAsia" w:ascii="黑体" w:hAnsi="黑体" w:eastAsia="黑体" w:cs="黑体"/>
          <w:b w:val="0"/>
          <w:bCs w:val="0"/>
          <w:snapToGrid w:val="0"/>
          <w:kern w:val="0"/>
          <w:sz w:val="32"/>
          <w:szCs w:val="32"/>
          <w:lang w:val="en-US" w:eastAsia="zh-CN" w:bidi="ar-SA"/>
        </w:rPr>
        <w:t>建设金融支持乡村振兴新高地</w:t>
      </w:r>
      <w:bookmarkEnd w:id="63"/>
    </w:p>
    <w:p>
      <w:pPr>
        <w:pStyle w:val="5"/>
        <w:numPr>
          <w:ilvl w:val="0"/>
          <w:numId w:val="0"/>
        </w:numPr>
        <w:ind w:leftChars="0"/>
        <w:rPr>
          <w:rFonts w:hint="eastAsia"/>
          <w:lang w:val="en-US" w:eastAsia="zh-CN"/>
        </w:rPr>
      </w:pPr>
    </w:p>
    <w:p>
      <w:pPr>
        <w:keepNext/>
        <w:keepLines/>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jc w:val="both"/>
        <w:textAlignment w:val="auto"/>
        <w:outlineLvl w:val="0"/>
        <w:rPr>
          <w:rFonts w:hint="eastAsia" w:ascii="仿宋_GB2312" w:eastAsia="仿宋_GB2312" w:cs="Times New Roman" w:hAnsiTheme="minorHAnsi"/>
          <w:i w:val="0"/>
          <w:iCs w:val="0"/>
          <w:color w:val="000000"/>
          <w:kern w:val="0"/>
          <w:sz w:val="32"/>
          <w:szCs w:val="32"/>
          <w:lang w:val="en" w:eastAsia="zh-CN" w:bidi="ar"/>
        </w:rPr>
      </w:pPr>
      <w:r>
        <w:rPr>
          <w:rFonts w:hint="eastAsia" w:ascii="仿宋_GB2312" w:eastAsia="仿宋_GB2312" w:cs="Times New Roman" w:hAnsiTheme="minorHAnsi"/>
          <w:i w:val="0"/>
          <w:iCs w:val="0"/>
          <w:color w:val="000000"/>
          <w:kern w:val="0"/>
          <w:sz w:val="32"/>
          <w:szCs w:val="32"/>
          <w:lang w:val="en" w:eastAsia="zh-CN" w:bidi="ar"/>
        </w:rPr>
        <w:t>围绕巩固拓展脱贫攻坚成果同乡村振兴战略有效衔接，综合运用财政政策、信贷资源、资本市场、保险服务、担保增信等，引导更多金融资源配置到乡村产业振兴，有效改善涉农主体金融服务，发挥金融在乡村产业振兴中的服务保障作用。</w:t>
      </w:r>
    </w:p>
    <w:p>
      <w:pPr>
        <w:pageBreakBefore w:val="0"/>
        <w:kinsoku/>
        <w:wordWrap/>
        <w:overflowPunct/>
        <w:topLinePunct w:val="0"/>
        <w:autoSpaceDE/>
        <w:autoSpaceDN/>
        <w:bidi w:val="0"/>
        <w:adjustRightInd/>
        <w:snapToGrid/>
        <w:spacing w:line="600" w:lineRule="exact"/>
        <w:ind w:firstLine="642" w:firstLineChars="200"/>
        <w:textAlignment w:val="auto"/>
        <w:rPr>
          <w:rFonts w:hint="default" w:ascii="仿宋_GB2312" w:eastAsia="仿宋_GB2312" w:cs="Times New Roman" w:hAnsiTheme="minorHAnsi"/>
          <w:i w:val="0"/>
          <w:iCs w:val="0"/>
          <w:color w:val="000000"/>
          <w:kern w:val="0"/>
          <w:sz w:val="32"/>
          <w:szCs w:val="32"/>
          <w:lang w:val="en" w:eastAsia="zh-CN" w:bidi="ar"/>
        </w:rPr>
      </w:pPr>
      <w:r>
        <w:rPr>
          <w:rFonts w:hint="eastAsia" w:ascii="仿宋_GB2312" w:eastAsia="仿宋_GB2312" w:cs="Times New Roman" w:hAnsiTheme="minorHAnsi"/>
          <w:b/>
          <w:bCs/>
          <w:i w:val="0"/>
          <w:iCs w:val="0"/>
          <w:color w:val="000000"/>
          <w:kern w:val="0"/>
          <w:sz w:val="32"/>
          <w:szCs w:val="32"/>
          <w:lang w:val="en" w:eastAsia="zh-CN" w:bidi="ar"/>
        </w:rPr>
        <w:t>打造差异化、特色化信贷服务体系</w:t>
      </w:r>
      <w:r>
        <w:rPr>
          <w:rFonts w:hint="default" w:ascii="仿宋_GB2312" w:eastAsia="仿宋_GB2312" w:cs="Times New Roman" w:hAnsiTheme="minorHAnsi"/>
          <w:b/>
          <w:bCs/>
          <w:i w:val="0"/>
          <w:iCs w:val="0"/>
          <w:color w:val="000000"/>
          <w:kern w:val="0"/>
          <w:sz w:val="32"/>
          <w:szCs w:val="32"/>
          <w:lang w:val="en" w:eastAsia="zh-CN" w:bidi="ar"/>
        </w:rPr>
        <w:t>。</w:t>
      </w:r>
      <w:r>
        <w:rPr>
          <w:rFonts w:hint="default" w:ascii="仿宋_GB2312" w:eastAsia="仿宋_GB2312" w:cs="Times New Roman" w:hAnsiTheme="minorHAnsi"/>
          <w:i w:val="0"/>
          <w:iCs w:val="0"/>
          <w:color w:val="000000"/>
          <w:kern w:val="0"/>
          <w:sz w:val="32"/>
          <w:szCs w:val="32"/>
          <w:lang w:val="en" w:eastAsia="zh-CN" w:bidi="ar"/>
        </w:rPr>
        <w:t>鼓励各银行坚守自身定位，按照错位竞争策略，找准支持乡村振兴的着力点。农业发展银行聊城分行要发挥农业政策性银行优势，重点为农村基础设施、农业产业化龙头企业提供中长期低利率贷款。农业银行聊城分行坚持面向“三农”的市场定位，创新专属金融产品和服务，确保乡村产业贷款增速高于全行县域贷款平均增速；邮政储蓄银行聊城分行要立足服务“三农”和小微企业，加大对农业农村各类主体的信贷支持；农商行发挥支农主力军作用，扩大对涉农主体的信贷投放；城商行加快县域机构布局，着力提高农村金融服务覆盖面和信贷渗透率；村镇银行强化支农支小，推动机构和服务向乡镇延伸，为涉农主体提供便捷高效的金融服务。</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hAnsiTheme="minorHAnsi"/>
          <w:i w:val="0"/>
          <w:iCs w:val="0"/>
          <w:color w:val="000000"/>
          <w:kern w:val="0"/>
          <w:sz w:val="32"/>
          <w:szCs w:val="32"/>
          <w:lang w:val="en-US" w:eastAsia="zh-CN" w:bidi="ar"/>
        </w:rPr>
      </w:pPr>
      <w:r>
        <w:rPr>
          <w:rFonts w:hint="default" w:ascii="仿宋_GB2312" w:eastAsia="仿宋_GB2312" w:cs="Times New Roman" w:hAnsiTheme="minorHAnsi"/>
          <w:b/>
          <w:bCs/>
          <w:i w:val="0"/>
          <w:iCs w:val="0"/>
          <w:color w:val="000000"/>
          <w:kern w:val="0"/>
          <w:sz w:val="32"/>
          <w:szCs w:val="32"/>
          <w:lang w:val="en" w:eastAsia="zh-CN" w:bidi="ar"/>
        </w:rPr>
        <w:t>强化乡村振兴信贷支持。</w:t>
      </w:r>
      <w:r>
        <w:rPr>
          <w:rFonts w:hint="default" w:ascii="仿宋_GB2312" w:eastAsia="仿宋_GB2312" w:cs="Times New Roman" w:hAnsiTheme="minorHAnsi"/>
          <w:i w:val="0"/>
          <w:iCs w:val="0"/>
          <w:color w:val="000000"/>
          <w:kern w:val="0"/>
          <w:sz w:val="32"/>
          <w:szCs w:val="32"/>
          <w:lang w:val="en" w:eastAsia="zh-CN" w:bidi="ar"/>
        </w:rPr>
        <w:t>做好金融服务政策衔接，进一步完善针对脱贫人口的小额信贷政策，保持信贷扶持政策连续性。推进涉农金融机构积极对接“一村一品”示范镇，立足各地资源禀赋、产业特色，精准化开发金融专属产品，支持新型农业经营主体和农村新产业新业态发展。</w:t>
      </w:r>
      <w:r>
        <w:rPr>
          <w:rFonts w:hint="eastAsia" w:ascii="仿宋_GB2312" w:eastAsia="仿宋_GB2312" w:cs="Times New Roman" w:hAnsiTheme="minorHAnsi"/>
          <w:i w:val="0"/>
          <w:iCs w:val="0"/>
          <w:color w:val="000000"/>
          <w:kern w:val="0"/>
          <w:sz w:val="32"/>
          <w:szCs w:val="32"/>
          <w:lang w:val="en-US" w:eastAsia="zh-CN" w:bidi="ar"/>
        </w:rPr>
        <w:t>根据农村电子商务发展趋势、经营特点、融资需求</w:t>
      </w:r>
      <w:r>
        <w:rPr>
          <w:rFonts w:hint="default" w:ascii="仿宋_GB2312" w:eastAsia="仿宋_GB2312" w:cs="Times New Roman" w:hAnsiTheme="minorHAnsi"/>
          <w:i w:val="0"/>
          <w:iCs w:val="0"/>
          <w:color w:val="000000"/>
          <w:kern w:val="0"/>
          <w:sz w:val="32"/>
          <w:szCs w:val="32"/>
          <w:lang w:val="en" w:eastAsia="zh-CN" w:bidi="ar"/>
        </w:rPr>
        <w:t>，</w:t>
      </w:r>
      <w:r>
        <w:rPr>
          <w:rFonts w:hint="eastAsia" w:ascii="仿宋_GB2312" w:eastAsia="仿宋_GB2312" w:cs="Times New Roman" w:hAnsiTheme="minorHAnsi"/>
          <w:i w:val="0"/>
          <w:iCs w:val="0"/>
          <w:color w:val="000000"/>
          <w:kern w:val="0"/>
          <w:sz w:val="32"/>
          <w:szCs w:val="32"/>
          <w:lang w:val="en-US" w:eastAsia="zh-CN" w:bidi="ar"/>
        </w:rPr>
        <w:t>在风险可控的前提下，推出适合电子商务发展多元化、差别化的信贷品种。</w:t>
      </w:r>
      <w:r>
        <w:rPr>
          <w:rFonts w:hint="default" w:ascii="仿宋_GB2312" w:eastAsia="仿宋_GB2312" w:cs="Times New Roman" w:hAnsiTheme="minorHAnsi"/>
          <w:i w:val="0"/>
          <w:iCs w:val="0"/>
          <w:color w:val="000000"/>
          <w:kern w:val="0"/>
          <w:sz w:val="32"/>
          <w:szCs w:val="32"/>
          <w:lang w:val="en" w:eastAsia="zh-CN" w:bidi="ar"/>
        </w:rPr>
        <w:t>推动农村数字金融创新，引导银行机构运用“大数据+人工智能”，发展线上信贷、场景金融和智慧平台。推进“三农”领域抵质押物“价值重置”，推动银行机构全面开展农村承包土地经营权抵押贷款业务，促进农村集体资产股权质押贷款试点扩面增量。提升聊城农村产权综合性交易平台功能，提供交易鉴证、定价评估、产权流转、抵押融资、不良资产处置等综合性服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 w:eastAsia="zh-CN" w:bidi="ar"/>
        </w:rPr>
        <w:t>提高涉农保险保障水平。</w:t>
      </w:r>
      <w:r>
        <w:rPr>
          <w:rFonts w:hint="default" w:ascii="仿宋_GB2312" w:eastAsia="仿宋_GB2312" w:cs="Times New Roman" w:hAnsiTheme="minorHAnsi"/>
          <w:i w:val="0"/>
          <w:iCs w:val="0"/>
          <w:color w:val="000000"/>
          <w:kern w:val="0"/>
          <w:sz w:val="32"/>
          <w:szCs w:val="32"/>
          <w:lang w:val="en" w:eastAsia="zh-CN" w:bidi="ar"/>
        </w:rPr>
        <w:t>健全符合我市农业发展特点的支持保护政策体系和农村金融服务体系。推动农业保险“扩面增品提</w:t>
      </w:r>
      <w:r>
        <w:rPr>
          <w:rFonts w:hint="default" w:ascii="仿宋_GB2312" w:eastAsia="仿宋_GB2312" w:cs="Times New Roman" w:hAnsiTheme="minorHAnsi"/>
          <w:i w:val="0"/>
          <w:iCs w:val="0"/>
          <w:color w:val="000000"/>
          <w:kern w:val="0"/>
          <w:sz w:val="32"/>
          <w:szCs w:val="32"/>
          <w:highlight w:val="none"/>
          <w:lang w:val="en" w:eastAsia="zh-CN" w:bidi="ar"/>
        </w:rPr>
        <w:t>标”，</w:t>
      </w:r>
      <w:r>
        <w:rPr>
          <w:rFonts w:hint="eastAsia" w:ascii="仿宋_GB2312" w:eastAsia="仿宋_GB2312" w:cs="Times New Roman"/>
          <w:i w:val="0"/>
          <w:iCs w:val="0"/>
          <w:color w:val="000000"/>
          <w:kern w:val="0"/>
          <w:sz w:val="32"/>
          <w:szCs w:val="32"/>
          <w:highlight w:val="none"/>
          <w:lang w:val="en" w:eastAsia="zh-CN" w:bidi="ar"/>
        </w:rPr>
        <w:t>开展小麦、玉米完全成本保险，积极</w:t>
      </w:r>
      <w:r>
        <w:rPr>
          <w:rFonts w:hint="default" w:ascii="仿宋_GB2312" w:hAnsi="Calibri" w:eastAsia="仿宋_GB2312" w:cs="Times New Roman"/>
          <w:i w:val="0"/>
          <w:iCs w:val="0"/>
          <w:color w:val="000000"/>
          <w:kern w:val="0"/>
          <w:sz w:val="32"/>
          <w:szCs w:val="32"/>
          <w:highlight w:val="none"/>
          <w:lang w:val="en" w:eastAsia="zh-CN" w:bidi="ar"/>
        </w:rPr>
        <w:t>发展大棚瓜菜</w:t>
      </w:r>
      <w:r>
        <w:rPr>
          <w:rFonts w:hint="default" w:ascii="仿宋_GB2312" w:hAnsi="Calibri" w:eastAsia="仿宋_GB2312" w:cs="Times New Roman"/>
          <w:i w:val="0"/>
          <w:iCs w:val="0"/>
          <w:color w:val="000000"/>
          <w:kern w:val="0"/>
          <w:sz w:val="32"/>
          <w:szCs w:val="32"/>
          <w:lang w:val="en" w:eastAsia="zh-CN" w:bidi="ar"/>
        </w:rPr>
        <w:t>保险等地方优势特色保险产品。</w:t>
      </w:r>
      <w:r>
        <w:rPr>
          <w:rFonts w:hint="default" w:ascii="仿宋_GB2312" w:eastAsia="仿宋_GB2312" w:cs="Times New Roman" w:hAnsiTheme="minorHAnsi"/>
          <w:i w:val="0"/>
          <w:iCs w:val="0"/>
          <w:color w:val="000000"/>
          <w:kern w:val="0"/>
          <w:sz w:val="32"/>
          <w:szCs w:val="32"/>
          <w:lang w:val="en" w:eastAsia="zh-CN" w:bidi="ar"/>
        </w:rPr>
        <w:t>提升农村地区人身保险发展水平，发展面向低收入人群的普惠保险；鼓励发展针对县域居民的健康险业务，扩大健康险在县域地区的覆盖范围。探索开展“农业保险＋”模式，推进农业保险与信贷、担保、期货（权）等金融工具联动。</w:t>
      </w:r>
    </w:p>
    <w:p>
      <w:pPr>
        <w:pageBreakBefore w:val="0"/>
        <w:kinsoku/>
        <w:wordWrap/>
        <w:overflowPunct/>
        <w:topLinePunct w:val="0"/>
        <w:autoSpaceDE/>
        <w:autoSpaceDN/>
        <w:bidi w:val="0"/>
        <w:adjustRightInd/>
        <w:snapToGrid/>
        <w:spacing w:line="600" w:lineRule="exact"/>
        <w:ind w:firstLine="642" w:firstLineChars="200"/>
        <w:textAlignment w:val="auto"/>
        <w:rPr>
          <w:rFonts w:hint="default" w:ascii="仿宋_GB2312" w:eastAsia="仿宋_GB2312" w:cs="Times New Roman" w:hAnsiTheme="minorHAnsi"/>
          <w:i w:val="0"/>
          <w:iCs w:val="0"/>
          <w:color w:val="000000"/>
          <w:kern w:val="0"/>
          <w:sz w:val="32"/>
          <w:szCs w:val="32"/>
          <w:lang w:val="en" w:eastAsia="zh-CN" w:bidi="ar"/>
        </w:rPr>
      </w:pPr>
      <w:r>
        <w:rPr>
          <w:rFonts w:hint="default" w:ascii="仿宋_GB2312" w:eastAsia="仿宋_GB2312" w:cs="Times New Roman" w:hAnsiTheme="minorHAnsi"/>
          <w:b/>
          <w:bCs/>
          <w:i w:val="0"/>
          <w:iCs w:val="0"/>
          <w:color w:val="000000"/>
          <w:kern w:val="0"/>
          <w:sz w:val="32"/>
          <w:szCs w:val="32"/>
          <w:lang w:val="en" w:eastAsia="zh-CN" w:bidi="ar"/>
        </w:rPr>
        <w:t>培育优质涉农上市资源</w:t>
      </w:r>
      <w:r>
        <w:rPr>
          <w:rFonts w:hint="eastAsia" w:ascii="仿宋_GB2312" w:eastAsia="仿宋_GB2312" w:cs="Times New Roman" w:hAnsiTheme="minorHAnsi"/>
          <w:b/>
          <w:bCs/>
          <w:i w:val="0"/>
          <w:iCs w:val="0"/>
          <w:color w:val="000000"/>
          <w:kern w:val="0"/>
          <w:sz w:val="32"/>
          <w:szCs w:val="32"/>
          <w:lang w:val="en-US" w:eastAsia="zh-CN" w:bidi="ar"/>
        </w:rPr>
        <w:t>。</w:t>
      </w:r>
      <w:r>
        <w:rPr>
          <w:rFonts w:hint="default" w:ascii="仿宋_GB2312" w:eastAsia="仿宋_GB2312" w:cs="Times New Roman" w:hAnsiTheme="minorHAnsi"/>
          <w:i w:val="0"/>
          <w:iCs w:val="0"/>
          <w:color w:val="000000"/>
          <w:kern w:val="0"/>
          <w:sz w:val="32"/>
          <w:szCs w:val="32"/>
          <w:lang w:val="en" w:eastAsia="zh-CN" w:bidi="ar"/>
        </w:rPr>
        <w:t>积极将优质涉农企业纳入省上市后备企业资源库，加强培训培育，支持其在主板、创业板以及新三板等上市挂牌融资。</w:t>
      </w:r>
    </w:p>
    <w:p>
      <w:pPr>
        <w:pStyle w:val="5"/>
        <w:rPr>
          <w:rFonts w:hint="default"/>
          <w:lang w:val="en" w:eastAsia="zh-CN"/>
        </w:rPr>
      </w:pPr>
    </w:p>
    <w:p>
      <w:pPr>
        <w:keepNext/>
        <w:keepLines/>
        <w:pageBreakBefore w:val="0"/>
        <w:widowControl w:val="0"/>
        <w:numPr>
          <w:ilvl w:val="0"/>
          <w:numId w:val="5"/>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64" w:name="_Toc1304114400_WPSOffice_Level2"/>
      <w:r>
        <w:rPr>
          <w:rFonts w:hint="eastAsia" w:ascii="CESI黑体-GB2312" w:hAnsi="CESI黑体-GB2312" w:eastAsia="CESI黑体-GB2312" w:cs="CESI黑体-GB2312"/>
          <w:b w:val="0"/>
          <w:bCs w:val="0"/>
          <w:sz w:val="32"/>
          <w:szCs w:val="32"/>
        </w:rPr>
        <w:t>打造金融</w:t>
      </w:r>
      <w:r>
        <w:rPr>
          <w:rFonts w:hint="eastAsia" w:ascii="CESI黑体-GB2312" w:hAnsi="CESI黑体-GB2312" w:eastAsia="CESI黑体-GB2312" w:cs="CESI黑体-GB2312"/>
          <w:b w:val="0"/>
          <w:bCs w:val="0"/>
          <w:sz w:val="32"/>
          <w:szCs w:val="32"/>
          <w:lang w:eastAsia="zh-CN"/>
        </w:rPr>
        <w:t>支持</w:t>
      </w:r>
      <w:r>
        <w:rPr>
          <w:rFonts w:hint="eastAsia" w:ascii="CESI黑体-GB2312" w:hAnsi="CESI黑体-GB2312" w:eastAsia="CESI黑体-GB2312" w:cs="CESI黑体-GB2312"/>
          <w:b w:val="0"/>
          <w:bCs w:val="0"/>
          <w:sz w:val="32"/>
          <w:szCs w:val="32"/>
        </w:rPr>
        <w:t>普惠</w:t>
      </w:r>
      <w:r>
        <w:rPr>
          <w:rFonts w:hint="eastAsia" w:ascii="CESI黑体-GB2312" w:hAnsi="CESI黑体-GB2312" w:eastAsia="CESI黑体-GB2312" w:cs="CESI黑体-GB2312"/>
          <w:b w:val="0"/>
          <w:bCs w:val="0"/>
          <w:sz w:val="32"/>
          <w:szCs w:val="32"/>
          <w:lang w:eastAsia="zh-CN"/>
        </w:rPr>
        <w:t>小微服务</w:t>
      </w:r>
      <w:r>
        <w:rPr>
          <w:rFonts w:hint="eastAsia" w:ascii="CESI黑体-GB2312" w:hAnsi="CESI黑体-GB2312" w:eastAsia="CESI黑体-GB2312" w:cs="CESI黑体-GB2312"/>
          <w:b w:val="0"/>
          <w:bCs w:val="0"/>
          <w:sz w:val="32"/>
          <w:szCs w:val="32"/>
        </w:rPr>
        <w:t>新样板</w:t>
      </w:r>
      <w:bookmarkEnd w:id="64"/>
    </w:p>
    <w:p>
      <w:pPr>
        <w:pStyle w:val="5"/>
        <w:numPr>
          <w:ilvl w:val="0"/>
          <w:numId w:val="0"/>
        </w:numPr>
        <w:ind w:leftChars="0"/>
        <w:rPr>
          <w:rFonts w:hint="eastAsia"/>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eastAsia="仿宋_GB2312" w:cs="Times New Roman" w:hAnsiTheme="minorHAnsi"/>
          <w:i w:val="0"/>
          <w:iCs w:val="0"/>
          <w:color w:val="000000"/>
          <w:kern w:val="0"/>
          <w:sz w:val="32"/>
          <w:szCs w:val="32"/>
          <w:lang w:val="en" w:eastAsia="zh-CN" w:bidi="ar"/>
        </w:rPr>
      </w:pPr>
      <w:r>
        <w:rPr>
          <w:rFonts w:hint="eastAsia" w:ascii="仿宋_GB2312" w:eastAsia="仿宋_GB2312" w:cs="Times New Roman" w:hAnsiTheme="minorHAnsi"/>
          <w:i w:val="0"/>
          <w:iCs w:val="0"/>
          <w:color w:val="000000"/>
          <w:kern w:val="0"/>
          <w:sz w:val="32"/>
          <w:szCs w:val="32"/>
          <w:lang w:val="en-US" w:eastAsia="zh-CN" w:bidi="ar"/>
        </w:rPr>
        <w:t>立足我市普惠金融发展基础优势，不断完善多元</w:t>
      </w:r>
      <w:r>
        <w:rPr>
          <w:rFonts w:hint="default" w:ascii="仿宋_GB2312" w:eastAsia="仿宋_GB2312" w:cs="Times New Roman" w:hAnsiTheme="minorHAnsi"/>
          <w:i w:val="0"/>
          <w:iCs w:val="0"/>
          <w:color w:val="000000"/>
          <w:kern w:val="0"/>
          <w:sz w:val="32"/>
          <w:szCs w:val="32"/>
          <w:lang w:val="en" w:eastAsia="zh-CN" w:bidi="ar"/>
        </w:rPr>
        <w:t>化</w:t>
      </w:r>
      <w:r>
        <w:rPr>
          <w:rFonts w:hint="eastAsia" w:ascii="仿宋_GB2312" w:eastAsia="仿宋_GB2312" w:cs="Times New Roman" w:hAnsiTheme="minorHAnsi"/>
          <w:i w:val="0"/>
          <w:iCs w:val="0"/>
          <w:color w:val="000000"/>
          <w:kern w:val="0"/>
          <w:sz w:val="32"/>
          <w:szCs w:val="32"/>
          <w:lang w:val="en-US" w:eastAsia="zh-CN" w:bidi="ar"/>
        </w:rPr>
        <w:t>金融供给体系，</w:t>
      </w:r>
      <w:r>
        <w:rPr>
          <w:rFonts w:hint="default" w:ascii="仿宋_GB2312" w:eastAsia="仿宋_GB2312" w:cs="Times New Roman" w:hAnsiTheme="minorHAnsi"/>
          <w:i w:val="0"/>
          <w:iCs w:val="0"/>
          <w:color w:val="000000"/>
          <w:kern w:val="0"/>
          <w:sz w:val="32"/>
          <w:szCs w:val="32"/>
          <w:lang w:val="en" w:eastAsia="zh-CN" w:bidi="ar"/>
        </w:rPr>
        <w:t>创新金融服务产品</w:t>
      </w:r>
      <w:r>
        <w:rPr>
          <w:rFonts w:hint="eastAsia" w:ascii="仿宋_GB2312" w:eastAsia="仿宋_GB2312" w:cs="Times New Roman" w:hAnsiTheme="minorHAnsi"/>
          <w:i w:val="0"/>
          <w:iCs w:val="0"/>
          <w:color w:val="000000"/>
          <w:kern w:val="0"/>
          <w:sz w:val="32"/>
          <w:szCs w:val="32"/>
          <w:lang w:val="en-US" w:eastAsia="zh-CN" w:bidi="ar"/>
        </w:rPr>
        <w:t>，</w:t>
      </w:r>
      <w:r>
        <w:rPr>
          <w:rFonts w:hint="default" w:ascii="仿宋_GB2312" w:eastAsia="仿宋_GB2312" w:cs="Times New Roman" w:hAnsiTheme="minorHAnsi"/>
          <w:i w:val="0"/>
          <w:iCs w:val="0"/>
          <w:color w:val="000000"/>
          <w:kern w:val="0"/>
          <w:sz w:val="32"/>
          <w:szCs w:val="32"/>
          <w:lang w:val="en-US" w:eastAsia="zh-CN" w:bidi="ar"/>
        </w:rPr>
        <w:t>深化融资担保体系建设</w:t>
      </w:r>
      <w:r>
        <w:rPr>
          <w:rFonts w:hint="eastAsia" w:ascii="仿宋_GB2312" w:eastAsia="仿宋_GB2312" w:cs="Times New Roman" w:hAnsiTheme="minorHAnsi"/>
          <w:i w:val="0"/>
          <w:iCs w:val="0"/>
          <w:color w:val="000000"/>
          <w:kern w:val="0"/>
          <w:sz w:val="32"/>
          <w:szCs w:val="32"/>
          <w:lang w:val="en-US" w:eastAsia="zh-CN" w:bidi="ar"/>
        </w:rPr>
        <w:t>、</w:t>
      </w:r>
      <w:r>
        <w:rPr>
          <w:rFonts w:hint="default" w:ascii="仿宋_GB2312" w:eastAsia="仿宋_GB2312" w:cs="Times New Roman" w:hAnsiTheme="minorHAnsi"/>
          <w:i w:val="0"/>
          <w:iCs w:val="0"/>
          <w:color w:val="000000"/>
          <w:kern w:val="0"/>
          <w:sz w:val="32"/>
          <w:szCs w:val="32"/>
          <w:lang w:val="en-US" w:eastAsia="zh-CN" w:bidi="ar"/>
        </w:rPr>
        <w:t>优化政策环境</w:t>
      </w:r>
      <w:r>
        <w:rPr>
          <w:rFonts w:hint="eastAsia" w:ascii="仿宋_GB2312" w:eastAsia="仿宋_GB2312" w:cs="Times New Roman" w:hAnsiTheme="minorHAnsi"/>
          <w:i w:val="0"/>
          <w:iCs w:val="0"/>
          <w:color w:val="000000"/>
          <w:kern w:val="0"/>
          <w:sz w:val="32"/>
          <w:szCs w:val="32"/>
          <w:lang w:val="en-US" w:eastAsia="zh-CN" w:bidi="ar"/>
        </w:rPr>
        <w:t>，形成</w:t>
      </w:r>
      <w:r>
        <w:rPr>
          <w:rFonts w:hint="default" w:ascii="仿宋_GB2312" w:eastAsia="仿宋_GB2312" w:cs="Times New Roman" w:hAnsiTheme="minorHAnsi"/>
          <w:i w:val="0"/>
          <w:iCs w:val="0"/>
          <w:color w:val="000000"/>
          <w:kern w:val="0"/>
          <w:sz w:val="32"/>
          <w:szCs w:val="32"/>
          <w:lang w:val="en" w:eastAsia="zh-CN" w:bidi="ar"/>
        </w:rPr>
        <w:t>“批量化、低成本、高效率、可复制”的普惠金融服务模式</w:t>
      </w:r>
      <w:r>
        <w:rPr>
          <w:rFonts w:hint="eastAsia" w:ascii="仿宋_GB2312" w:eastAsia="仿宋_GB2312" w:cs="Times New Roman" w:hAnsiTheme="minorHAnsi"/>
          <w:i w:val="0"/>
          <w:iCs w:val="0"/>
          <w:color w:val="000000"/>
          <w:kern w:val="0"/>
          <w:sz w:val="32"/>
          <w:szCs w:val="32"/>
          <w:lang w:val="en-US" w:eastAsia="zh-CN" w:bidi="ar"/>
        </w:rPr>
        <w:t>，</w:t>
      </w:r>
      <w:r>
        <w:rPr>
          <w:rFonts w:hint="default" w:ascii="仿宋_GB2312" w:eastAsia="仿宋_GB2312" w:cs="Times New Roman" w:hAnsiTheme="minorHAnsi"/>
          <w:i w:val="0"/>
          <w:iCs w:val="0"/>
          <w:color w:val="000000"/>
          <w:kern w:val="0"/>
          <w:sz w:val="32"/>
          <w:szCs w:val="32"/>
          <w:lang w:val="en" w:eastAsia="zh-CN" w:bidi="ar"/>
        </w:rPr>
        <w:t>不断增强</w:t>
      </w:r>
      <w:r>
        <w:rPr>
          <w:rFonts w:hint="eastAsia" w:ascii="仿宋_GB2312" w:eastAsia="仿宋_GB2312" w:cs="Times New Roman" w:hAnsiTheme="minorHAnsi"/>
          <w:i w:val="0"/>
          <w:iCs w:val="0"/>
          <w:color w:val="000000"/>
          <w:kern w:val="0"/>
          <w:sz w:val="32"/>
          <w:szCs w:val="32"/>
          <w:lang w:val="en" w:eastAsia="zh-CN" w:bidi="ar"/>
        </w:rPr>
        <w:t>中小微企业及人民群众</w:t>
      </w:r>
      <w:r>
        <w:rPr>
          <w:rFonts w:hint="default" w:ascii="仿宋_GB2312" w:eastAsia="仿宋_GB2312" w:cs="Times New Roman" w:hAnsiTheme="minorHAnsi"/>
          <w:i w:val="0"/>
          <w:iCs w:val="0"/>
          <w:color w:val="000000"/>
          <w:kern w:val="0"/>
          <w:sz w:val="32"/>
          <w:szCs w:val="32"/>
          <w:lang w:val="en" w:eastAsia="zh-CN" w:bidi="ar"/>
        </w:rPr>
        <w:t>金融服务获得感，有效助力共同富裕目标实现。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优化提升普惠信贷服务质效。</w:t>
      </w:r>
      <w:r>
        <w:rPr>
          <w:rFonts w:hint="eastAsia" w:ascii="仿宋_GB2312" w:eastAsia="仿宋_GB2312" w:cs="Times New Roman" w:hAnsiTheme="minorHAnsi"/>
          <w:i w:val="0"/>
          <w:iCs w:val="0"/>
          <w:color w:val="000000"/>
          <w:kern w:val="0"/>
          <w:sz w:val="32"/>
          <w:szCs w:val="32"/>
          <w:lang w:val="en-US" w:eastAsia="zh-CN" w:bidi="ar"/>
        </w:rPr>
        <w:t>引导银行机构延伸服务半径，通过下沉网点、提供无接触服务等方式，构建灵活直达、精准高效的普惠金融服务体系。</w:t>
      </w:r>
      <w:r>
        <w:rPr>
          <w:rFonts w:hint="default" w:ascii="仿宋_GB2312" w:eastAsia="仿宋_GB2312" w:cs="Times New Roman" w:hAnsiTheme="minorHAnsi"/>
          <w:i w:val="0"/>
          <w:iCs w:val="0"/>
          <w:color w:val="000000"/>
          <w:kern w:val="0"/>
          <w:sz w:val="32"/>
          <w:szCs w:val="32"/>
          <w:lang w:val="en" w:eastAsia="zh-CN" w:bidi="ar"/>
        </w:rPr>
        <w:t>督促银行机构特别是法人机构完善内部绩效考核评价机制和信贷资源配置，增加小微企业客户服务情况考核权重，改进贷款尽职免责内部认定标准和流程。</w:t>
      </w:r>
      <w:r>
        <w:rPr>
          <w:rFonts w:hint="eastAsia" w:ascii="仿宋_GB2312" w:eastAsia="仿宋_GB2312" w:cs="Times New Roman" w:hAnsiTheme="minorHAnsi"/>
          <w:i w:val="0"/>
          <w:iCs w:val="0"/>
          <w:color w:val="000000"/>
          <w:kern w:val="0"/>
          <w:sz w:val="32"/>
          <w:szCs w:val="32"/>
          <w:lang w:val="en" w:eastAsia="zh-CN" w:bidi="ar"/>
        </w:rPr>
        <w:t>深化金融辅导、首贷培植工作，为企业提供定制化化、精准化服务。</w:t>
      </w:r>
      <w:r>
        <w:rPr>
          <w:rFonts w:hint="eastAsia" w:ascii="仿宋_GB2312" w:eastAsia="仿宋_GB2312" w:cs="Times New Roman" w:hAnsiTheme="minorHAnsi"/>
          <w:i w:val="0"/>
          <w:iCs w:val="0"/>
          <w:color w:val="000000"/>
          <w:kern w:val="0"/>
          <w:sz w:val="32"/>
          <w:szCs w:val="32"/>
          <w:lang w:val="en-US" w:eastAsia="zh-CN" w:bidi="ar"/>
        </w:rPr>
        <w:t>发挥抵质押价值重置机制作用，完善“银税互动”平台功能，落实无还本续贷政策，增加应急贷、信用贷、首贷、循环贷、中长期贷款投放，形成多层次、有差异、广覆盖的金融产品体系，确保普惠型金融小微贷款投放持续稳定增长。规范银行信贷融资收费，推动银行机构在信贷环节取消部分涉企收费项目和不合理条件，在助贷环节明确收费事项、加强对第三方机构的管理，在增信环节合理引入增信安排。综合采取财政奖补、贴息、保费补贴等引导措施，降低民营经济和小微企业贷款综合成本，力争民营企业和普惠型小微企业贷款综合成本逐年下降和保持在合理水平。</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大力发展数字普惠金融。</w:t>
      </w:r>
      <w:r>
        <w:rPr>
          <w:rFonts w:hint="eastAsia" w:ascii="仿宋_GB2312" w:eastAsia="仿宋_GB2312" w:cs="Times New Roman" w:hAnsiTheme="minorHAnsi"/>
          <w:i w:val="0"/>
          <w:iCs w:val="0"/>
          <w:color w:val="000000"/>
          <w:kern w:val="0"/>
          <w:sz w:val="32"/>
          <w:szCs w:val="32"/>
          <w:lang w:val="en-US" w:eastAsia="zh-CN" w:bidi="ar"/>
        </w:rPr>
        <w:t>构建数字化金融服务渠道，引导金融机构借助移动金融、情景感知等手段将金融服务与民生应用场景结合，利用大数据、云计算等现代数字科技，定向、精准适配中小微企业融资需求和融资服务,以较低成本将金融服务下沉到大量分散的小微企业等普惠群体。加快数字化金融平台建设，加快征信数据与金融创新相结合，推进智慧金融服务平台功能迭代升级，以解决政银企信息不对称为目标，加速企业信息数据对接，有效打通金融机构和企业间的信息壁垒。鼓励金融机构充分利用大数据、人工智能等加速风险控制智能化，技术手段优化风险定价模型，建立小微企业、科创企业等重点群体信用评估模型，科学高效控制风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eastAsia="仿宋_GB2312" w:cs="Times New Roman" w:hAnsiTheme="minorHAnsi"/>
          <w:i w:val="0"/>
          <w:iCs w:val="0"/>
          <w:color w:val="000000"/>
          <w:kern w:val="0"/>
          <w:sz w:val="32"/>
          <w:szCs w:val="32"/>
          <w:lang w:val="en-US" w:eastAsia="zh-CN" w:bidi="ar"/>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eastAsia="仿宋_GB2312" w:cs="Times New Roman" w:hAnsiTheme="minorHAnsi"/>
          <w:i w:val="0"/>
          <w:iCs w:val="0"/>
          <w:color w:val="000000"/>
          <w:kern w:val="0"/>
          <w:sz w:val="32"/>
          <w:szCs w:val="32"/>
          <w:lang w:val="en-US" w:eastAsia="zh-CN" w:bidi="ar"/>
        </w:rPr>
      </w:pPr>
    </w:p>
    <w:tbl>
      <w:tblPr>
        <w:tblStyle w:val="20"/>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60" w:type="dxa"/>
          </w:tcPr>
          <w:p>
            <w:pPr>
              <w:pStyle w:val="18"/>
              <w:keepNext w:val="0"/>
              <w:keepLines w:val="0"/>
              <w:widowControl/>
              <w:suppressLineNumbers w:val="0"/>
              <w:spacing w:before="0" w:beforeAutospacing="0" w:after="0" w:afterAutospacing="0"/>
              <w:ind w:right="0"/>
              <w:jc w:val="center"/>
              <w:rPr>
                <w:rFonts w:hint="eastAsia" w:ascii="仿宋_GB2312" w:eastAsia="仿宋_GB2312" w:cs="Times New Roman" w:hAnsiTheme="minorHAnsi"/>
                <w:i w:val="0"/>
                <w:iCs w:val="0"/>
                <w:color w:val="000000"/>
                <w:kern w:val="0"/>
                <w:sz w:val="28"/>
                <w:szCs w:val="28"/>
                <w:vertAlign w:val="baseline"/>
                <w:lang w:val="en-US" w:eastAsia="zh-CN" w:bidi="ar"/>
              </w:rPr>
            </w:pPr>
            <w:r>
              <w:rPr>
                <w:rFonts w:hint="eastAsia" w:ascii="CESI楷体-GB2312" w:hAnsi="CESI楷体-GB2312" w:eastAsia="CESI楷体-GB2312" w:cs="CESI楷体-GB2312"/>
                <w:b w:val="0"/>
                <w:bCs w:val="0"/>
                <w:i w:val="0"/>
                <w:iCs w:val="0"/>
                <w:color w:val="000000"/>
                <w:kern w:val="2"/>
                <w:sz w:val="28"/>
                <w:szCs w:val="28"/>
                <w:lang w:val="en-US" w:eastAsia="zh-CN" w:bidi="ar-SA"/>
              </w:rPr>
              <w:t>专栏4   聊城市智慧金融服务平台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8660" w:type="dxa"/>
          </w:tcPr>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聊城市智慧金融服务平台是由聊城市财信</w:t>
            </w:r>
            <w:r>
              <w:rPr>
                <w:rFonts w:hint="eastAsia" w:ascii="仿宋_GB2312" w:eastAsia="仿宋_GB2312" w:cs="Times New Roman"/>
                <w:i w:val="0"/>
                <w:iCs w:val="0"/>
                <w:color w:val="000000"/>
                <w:kern w:val="0"/>
                <w:sz w:val="28"/>
                <w:szCs w:val="28"/>
                <w:lang w:val="en-US" w:eastAsia="zh-CN" w:bidi="ar"/>
              </w:rPr>
              <w:t>投资控股集团</w:t>
            </w:r>
            <w:r>
              <w:rPr>
                <w:rFonts w:hint="eastAsia" w:ascii="仿宋_GB2312" w:eastAsia="仿宋_GB2312" w:cs="Times New Roman" w:hAnsiTheme="minorHAnsi"/>
                <w:i w:val="0"/>
                <w:iCs w:val="0"/>
                <w:color w:val="000000"/>
                <w:kern w:val="0"/>
                <w:sz w:val="28"/>
                <w:szCs w:val="28"/>
                <w:lang w:val="en-US" w:eastAsia="zh-CN" w:bidi="ar"/>
              </w:rPr>
              <w:t>有限公司负责运营的综合性金融服务平台。平台运作采用“政府推动、企业主导、市场运作”的模式，力在实现企业需求与金融资源的无缝对接。</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1.“一键式”融资供需对接。企业注册后可发布个性化融资需求，平台基于企业画像和评估结果，向企业智能推荐适合的金融产品和金融政策，实现“千人千面”的专业化服务；企业也可像网购一样挑选适合自己的金融产品，快速与金融机构对接，降低融资成本。</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2.“一次性”查询企业信息。</w:t>
            </w:r>
            <w:r>
              <w:rPr>
                <w:rFonts w:hint="eastAsia" w:ascii="仿宋_GB2312" w:eastAsia="仿宋_GB2312" w:cs="Times New Roman" w:hAnsiTheme="minorHAnsi"/>
                <w:i w:val="0"/>
                <w:iCs w:val="0"/>
                <w:color w:val="000000"/>
                <w:kern w:val="0"/>
                <w:sz w:val="28"/>
                <w:szCs w:val="28"/>
                <w:lang w:val="en-US" w:eastAsia="zh-CN" w:bidi="ar"/>
              </w:rPr>
              <w:t>平台已汇集到11个政府部门63项政务数据、电力数据和互联网公开数据，通过模型脱敏加工，自动生成企业的评价报告，经充分授权后向金融机构开放应用；金融机构也可以依托以上数据资源，与平台联合开发定制化在线产品，满足特定群体融资需求，实现精准营销。</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3.“一张网”汇聚服务场景。</w:t>
            </w:r>
            <w:r>
              <w:rPr>
                <w:rFonts w:hint="eastAsia" w:ascii="仿宋_GB2312" w:eastAsia="仿宋_GB2312" w:cs="Times New Roman" w:hAnsiTheme="minorHAnsi"/>
                <w:i w:val="0"/>
                <w:iCs w:val="0"/>
                <w:color w:val="000000"/>
                <w:kern w:val="0"/>
                <w:sz w:val="28"/>
                <w:szCs w:val="28"/>
                <w:lang w:val="en-US" w:eastAsia="zh-CN" w:bidi="ar"/>
              </w:rPr>
              <w:t>为推动政金企信息互通共享，与全国“信易贷”平台对接；为服务“乡村振兴”战略，开发了“三农融资”服务专区、“重点项目融资”专区等。下一步，平台将重点围绕“外贸企业”“专精特新企业”等群体开展融资需求调研，提供定制化、精细化融资服务。</w:t>
            </w:r>
          </w:p>
          <w:p>
            <w:pPr>
              <w:pStyle w:val="18"/>
              <w:keepNext w:val="0"/>
              <w:keepLines w:val="0"/>
              <w:widowControl/>
              <w:suppressLineNumbers w:val="0"/>
              <w:spacing w:before="0" w:beforeAutospacing="0" w:after="0" w:afterAutospacing="0"/>
              <w:ind w:right="0" w:firstLine="560" w:firstLineChars="200"/>
              <w:jc w:val="left"/>
              <w:rPr>
                <w:rFonts w:hint="eastAsia" w:ascii="仿宋_GB2312" w:eastAsia="仿宋_GB2312" w:cs="Times New Roman" w:hAnsiTheme="minorHAnsi"/>
                <w:i w:val="0"/>
                <w:iCs w:val="0"/>
                <w:color w:val="000000"/>
                <w:kern w:val="0"/>
                <w:sz w:val="28"/>
                <w:szCs w:val="28"/>
                <w:vertAlign w:val="baseline"/>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4.“全方位”把握金融市场。</w:t>
            </w:r>
            <w:r>
              <w:rPr>
                <w:rFonts w:hint="eastAsia" w:ascii="仿宋_GB2312" w:eastAsia="仿宋_GB2312" w:cs="Times New Roman" w:hAnsiTheme="minorHAnsi"/>
                <w:i w:val="0"/>
                <w:iCs w:val="0"/>
                <w:color w:val="000000"/>
                <w:kern w:val="0"/>
                <w:sz w:val="28"/>
                <w:szCs w:val="28"/>
                <w:lang w:val="en-US" w:eastAsia="zh-CN" w:bidi="ar"/>
              </w:rPr>
              <w:t>监测大屏可从总额、区域、行业等多维度实时展示，为监管部门管理、调控金融市场提供有力抓手。</w:t>
            </w:r>
          </w:p>
        </w:tc>
      </w:tr>
    </w:tbl>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完善</w:t>
      </w:r>
      <w:r>
        <w:rPr>
          <w:rFonts w:hint="eastAsia" w:ascii="仿宋_GB2312" w:eastAsia="仿宋_GB2312" w:cs="Times New Roman"/>
          <w:b/>
          <w:bCs/>
          <w:i w:val="0"/>
          <w:iCs w:val="0"/>
          <w:color w:val="000000"/>
          <w:kern w:val="0"/>
          <w:sz w:val="32"/>
          <w:szCs w:val="32"/>
          <w:lang w:val="en-US" w:eastAsia="zh-CN" w:bidi="ar"/>
        </w:rPr>
        <w:t>政策性</w:t>
      </w:r>
      <w:r>
        <w:rPr>
          <w:rFonts w:hint="eastAsia" w:ascii="仿宋_GB2312" w:eastAsia="仿宋_GB2312" w:cs="Times New Roman" w:hAnsiTheme="minorHAnsi"/>
          <w:b/>
          <w:bCs/>
          <w:i w:val="0"/>
          <w:iCs w:val="0"/>
          <w:color w:val="000000"/>
          <w:kern w:val="0"/>
          <w:sz w:val="32"/>
          <w:szCs w:val="32"/>
          <w:lang w:val="en-US" w:eastAsia="zh-CN" w:bidi="ar"/>
        </w:rPr>
        <w:t>融资担保体系。</w:t>
      </w:r>
      <w:r>
        <w:rPr>
          <w:rFonts w:hint="eastAsia" w:ascii="仿宋_GB2312" w:eastAsia="仿宋_GB2312" w:cs="Times New Roman" w:hAnsiTheme="minorHAnsi"/>
          <w:i w:val="0"/>
          <w:iCs w:val="0"/>
          <w:color w:val="000000"/>
          <w:kern w:val="0"/>
          <w:sz w:val="32"/>
          <w:szCs w:val="32"/>
          <w:lang w:val="en-US" w:eastAsia="zh-CN" w:bidi="ar"/>
        </w:rPr>
        <w:t>引导政府性融资担保机构回归本源业务，提高主动获客和风险控制能力，落实尽职免责等制度，健全资本补充、风险补偿和保费补贴政策，逐步降低担保费率，建立“能担、愿担、敢担”的长效机制。推动政府性融资担保机构与省投融资担保集团开展股权、业务合作，落实风险分担机制。支持省农担</w:t>
      </w:r>
      <w:r>
        <w:rPr>
          <w:rFonts w:hint="eastAsia" w:ascii="仿宋_GB2312" w:eastAsia="仿宋_GB2312" w:cs="Times New Roman" w:hAnsiTheme="minorHAnsi"/>
          <w:i w:val="0"/>
          <w:iCs w:val="0"/>
          <w:color w:val="000000"/>
          <w:kern w:val="0"/>
          <w:sz w:val="32"/>
          <w:szCs w:val="32"/>
          <w:lang w:val="en" w:eastAsia="zh-CN" w:bidi="ar"/>
        </w:rPr>
        <w:t>公司</w:t>
      </w:r>
      <w:r>
        <w:rPr>
          <w:rFonts w:hint="eastAsia" w:ascii="仿宋_GB2312" w:eastAsia="仿宋_GB2312" w:cs="Times New Roman" w:hAnsiTheme="minorHAnsi"/>
          <w:i w:val="0"/>
          <w:iCs w:val="0"/>
          <w:color w:val="000000"/>
          <w:kern w:val="0"/>
          <w:sz w:val="32"/>
          <w:szCs w:val="32"/>
          <w:lang w:val="en-US" w:eastAsia="zh-CN" w:bidi="ar"/>
        </w:rPr>
        <w:t>在聊开展业务，推动农业担保业务提质扩面。推动市级大型融资担保公司加快业务发展，更好发挥龙头作用。对融资担保机构缺失或融资担保服务功能薄弱的县域，支持属地政府设立新的融资担保机构。</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提升直接融资在普惠金融占比。</w:t>
      </w:r>
      <w:r>
        <w:rPr>
          <w:rFonts w:hint="eastAsia" w:ascii="仿宋_GB2312" w:eastAsia="仿宋_GB2312" w:cs="Times New Roman" w:hAnsiTheme="minorHAnsi"/>
          <w:i w:val="0"/>
          <w:iCs w:val="0"/>
          <w:color w:val="000000"/>
          <w:kern w:val="0"/>
          <w:sz w:val="32"/>
          <w:szCs w:val="32"/>
          <w:lang w:val="en-US" w:eastAsia="zh-CN" w:bidi="ar"/>
        </w:rPr>
        <w:t>充分发力对接多层次资本市场，拓宽民营企业和小微企业的融资渠道，支持企业利用好ABS债、公司债、企业债等金融债券融资工具和股权融资支持计划，满足自身合理资金需求，优先支持民营企业和中小微企业通过集合注册发行等方式进行债券融资，并对我市发行企业债券、银行间债务融资工具的企业,按实际融资额的一定比例给予补助。</w:t>
      </w:r>
    </w:p>
    <w:p>
      <w:pPr>
        <w:pStyle w:val="5"/>
        <w:rPr>
          <w:rFonts w:hint="eastAsia"/>
          <w:lang w:val="en-US" w:eastAsia="zh-CN"/>
        </w:rPr>
      </w:pPr>
    </w:p>
    <w:p>
      <w:pPr>
        <w:keepNext/>
        <w:keepLines/>
        <w:pageBreakBefore w:val="0"/>
        <w:widowControl w:val="0"/>
        <w:numPr>
          <w:ilvl w:val="0"/>
          <w:numId w:val="5"/>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65" w:name="_Toc1918491131_WPSOffice_Level2"/>
      <w:r>
        <w:rPr>
          <w:rFonts w:hint="eastAsia" w:ascii="黑体" w:hAnsi="黑体" w:eastAsia="黑体" w:cs="黑体"/>
          <w:b w:val="0"/>
          <w:bCs w:val="0"/>
          <w:snapToGrid w:val="0"/>
          <w:kern w:val="0"/>
          <w:sz w:val="32"/>
          <w:szCs w:val="32"/>
          <w:lang w:val="en-US" w:eastAsia="zh-CN" w:bidi="ar-SA"/>
        </w:rPr>
        <w:t>推进“双碳目标下”绿色金融新实践</w:t>
      </w:r>
      <w:bookmarkEnd w:id="65"/>
    </w:p>
    <w:p>
      <w:pPr>
        <w:pStyle w:val="5"/>
        <w:numPr>
          <w:ilvl w:val="0"/>
          <w:numId w:val="0"/>
        </w:numPr>
        <w:ind w:leftChars="0"/>
        <w:rPr>
          <w:rFonts w:hint="eastAsia"/>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i w:val="0"/>
          <w:iCs w:val="0"/>
          <w:color w:val="000000"/>
          <w:kern w:val="0"/>
          <w:sz w:val="32"/>
          <w:szCs w:val="32"/>
          <w:lang w:val="en-US" w:eastAsia="zh-CN" w:bidi="ar"/>
        </w:rPr>
        <w:t>加快建立完善绿色金融组织机构体系、金融产品和服务体系，引导激励金融体系以市场化方式支持绿色投融资活动，鼓励金融企业积极应对气候挑战，为实现绿色低碳发展和“3060目标”提供有力金融支撑，引导更多金融资源支持节能减排和绿色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eastAsia="仿宋_GB2312" w:cs="Times New Roman" w:hAnsiTheme="minorHAnsi"/>
          <w:b w:val="0"/>
          <w:bCs w:val="0"/>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建立健全绿色金融政策支持体系。</w:t>
      </w:r>
      <w:r>
        <w:rPr>
          <w:rFonts w:hint="eastAsia" w:ascii="仿宋_GB2312" w:eastAsia="仿宋_GB2312" w:cs="Times New Roman" w:hAnsiTheme="minorHAnsi"/>
          <w:b w:val="0"/>
          <w:bCs w:val="0"/>
          <w:i w:val="0"/>
          <w:iCs w:val="0"/>
          <w:color w:val="000000"/>
          <w:kern w:val="0"/>
          <w:sz w:val="32"/>
          <w:szCs w:val="32"/>
          <w:lang w:val="en-US" w:eastAsia="zh-CN" w:bidi="ar"/>
        </w:rPr>
        <w:t>建立跨部门协同工作机制，加强金融、财政、产业、环保等领域协调配合和政策配套，形成有利于绿色金融发展的制度机制。建立完善绿色金融基础设施，探索建立地方绿色金融标准、完善绿色金融统计制度，加快推进绿色信用体系建设、探索建立绿色金融领域财</w:t>
      </w:r>
      <w:r>
        <w:rPr>
          <w:rFonts w:hint="eastAsia" w:ascii="仿宋_GB2312" w:eastAsia="仿宋_GB2312" w:cs="Times New Roman"/>
          <w:b w:val="0"/>
          <w:bCs w:val="0"/>
          <w:i w:val="0"/>
          <w:iCs w:val="0"/>
          <w:color w:val="000000"/>
          <w:kern w:val="0"/>
          <w:sz w:val="32"/>
          <w:szCs w:val="32"/>
          <w:lang w:val="en-US" w:eastAsia="zh-CN" w:bidi="ar"/>
        </w:rPr>
        <w:t>政</w:t>
      </w:r>
      <w:r>
        <w:rPr>
          <w:rFonts w:hint="eastAsia" w:ascii="仿宋_GB2312" w:eastAsia="仿宋_GB2312" w:cs="Times New Roman" w:hAnsiTheme="minorHAnsi"/>
          <w:b w:val="0"/>
          <w:bCs w:val="0"/>
          <w:i w:val="0"/>
          <w:iCs w:val="0"/>
          <w:color w:val="000000"/>
          <w:kern w:val="0"/>
          <w:sz w:val="32"/>
          <w:szCs w:val="32"/>
          <w:lang w:val="en-US" w:eastAsia="zh-CN" w:bidi="ar"/>
        </w:rPr>
        <w:t>奖补政策和风险分担机制。梳理绿色制造、绿色生态、绿色城镇化、绿色产业、绿色设施等绿色项目及企业，找出前景好、质量高、推动本地环境效益显著的项目，组建全市“绿色金融”项目库，有重点的引导推动金融机构加强对接。建立健全绿色金融激励约束机制，强化对银行机构绿色金融评价结果运用，对绿色信贷增量或余额占比达标的金融机构优先予以央行资金等支持。争取“十四五”期间绿色信贷增速不低于各项贷款平均增速、占全部贷款的比重稳步增加。</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lang w:val="en-US" w:eastAsia="zh-CN"/>
        </w:rPr>
      </w:pPr>
      <w:r>
        <w:rPr>
          <w:rFonts w:hint="eastAsia" w:ascii="仿宋_GB2312" w:eastAsia="仿宋_GB2312" w:cs="Times New Roman" w:hAnsiTheme="minorHAnsi"/>
          <w:b/>
          <w:bCs/>
          <w:i w:val="0"/>
          <w:iCs w:val="0"/>
          <w:color w:val="000000"/>
          <w:kern w:val="0"/>
          <w:sz w:val="32"/>
          <w:szCs w:val="32"/>
          <w:lang w:val="en-US" w:eastAsia="zh-CN" w:bidi="ar"/>
        </w:rPr>
        <w:t>创新绿色金融产品服务模式。</w:t>
      </w:r>
      <w:r>
        <w:rPr>
          <w:rFonts w:hint="eastAsia" w:ascii="仿宋_GB2312" w:eastAsia="仿宋_GB2312" w:cs="Times New Roman" w:hAnsiTheme="minorHAnsi"/>
          <w:b w:val="0"/>
          <w:bCs w:val="0"/>
          <w:i w:val="0"/>
          <w:iCs w:val="0"/>
          <w:color w:val="000000"/>
          <w:kern w:val="0"/>
          <w:sz w:val="32"/>
          <w:szCs w:val="32"/>
          <w:lang w:val="en-US" w:eastAsia="zh-CN" w:bidi="ar"/>
        </w:rPr>
        <w:t>鼓励金融机构开展绿色信贷、绿色债券、绿色保险等业务，支持生态治理、环境修复等绿色项目。依托聊城绿色产业研究院，积极开展对政策、产品、市场等研究，推动绿色金融产品落地。在风险可控的前提下，探索发展能效管理、碳排放权、排污权抵（质）押融资业务，以及绿色设备买方信贷、绿色融资租赁、绿色PPP等业务；针对绿色经济直接融资需求，探索发行绿色债券、绿色ABS、绿色资产担保债券等融资工具；有序发展碳债券、碳资产证券化、碳基金、碳远期等金融产品和衍生工具。</w:t>
      </w:r>
      <w:r>
        <w:rPr>
          <w:rFonts w:hint="eastAsia" w:ascii="仿宋_GB2312" w:eastAsia="仿宋_GB2312" w:cs="Times New Roman"/>
          <w:b w:val="0"/>
          <w:bCs w:val="0"/>
          <w:i w:val="0"/>
          <w:iCs w:val="0"/>
          <w:color w:val="000000"/>
          <w:kern w:val="0"/>
          <w:sz w:val="32"/>
          <w:szCs w:val="32"/>
          <w:lang w:val="en-US" w:eastAsia="zh-CN" w:bidi="ar"/>
        </w:rPr>
        <w:t>探索</w:t>
      </w:r>
      <w:r>
        <w:rPr>
          <w:rFonts w:hint="eastAsia" w:ascii="仿宋_GB2312" w:eastAsia="仿宋_GB2312" w:cs="Times New Roman" w:hAnsiTheme="minorHAnsi"/>
          <w:b w:val="0"/>
          <w:bCs w:val="0"/>
          <w:i w:val="0"/>
          <w:iCs w:val="0"/>
          <w:color w:val="000000"/>
          <w:kern w:val="0"/>
          <w:sz w:val="32"/>
          <w:szCs w:val="32"/>
          <w:lang w:val="en-US" w:eastAsia="zh-CN" w:bidi="ar"/>
        </w:rPr>
        <w:t>组建多元化绿色产业投资基金，为绿色产业发展提供风险分担、投融资等金融服务。引进设立会计师事务所、第三方绿色评级与认证机构、环境咨询类公司，为聊城企业提供绿色咨询、认证、评估、培训、评级、检测认证等专业服务。</w:t>
      </w:r>
    </w:p>
    <w:tbl>
      <w:tblPr>
        <w:tblStyle w:val="20"/>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00" w:type="dxa"/>
          </w:tcPr>
          <w:p>
            <w:pPr>
              <w:keepNext/>
              <w:keepLines/>
              <w:pageBreakBefore w:val="0"/>
              <w:widowControl w:val="0"/>
              <w:numPr>
                <w:ilvl w:val="0"/>
                <w:numId w:val="0"/>
              </w:numPr>
              <w:kinsoku/>
              <w:wordWrap/>
              <w:overflowPunct/>
              <w:topLinePunct w:val="0"/>
              <w:autoSpaceDE/>
              <w:autoSpaceDN/>
              <w:bidi w:val="0"/>
              <w:adjustRightInd/>
              <w:snapToGrid/>
              <w:spacing w:before="0" w:after="0" w:line="520" w:lineRule="exact"/>
              <w:ind w:firstLine="560" w:firstLineChars="200"/>
              <w:jc w:val="center"/>
              <w:textAlignment w:val="auto"/>
              <w:outlineLvl w:val="0"/>
              <w:rPr>
                <w:rFonts w:hint="eastAsia" w:ascii="仿宋_GB2312" w:eastAsia="仿宋_GB2312" w:cs="Times New Roman" w:hAnsiTheme="minorHAnsi"/>
                <w:b w:val="0"/>
                <w:bCs w:val="0"/>
                <w:i w:val="0"/>
                <w:iCs w:val="0"/>
                <w:color w:val="000000"/>
                <w:kern w:val="0"/>
                <w:sz w:val="28"/>
                <w:szCs w:val="28"/>
                <w:vertAlign w:val="baseline"/>
                <w:lang w:val="en-US" w:eastAsia="zh-CN" w:bidi="ar"/>
              </w:rPr>
            </w:pPr>
            <w:r>
              <w:rPr>
                <w:rFonts w:hint="eastAsia" w:ascii="CESI楷体-GB2312" w:hAnsi="CESI楷体-GB2312" w:eastAsia="CESI楷体-GB2312" w:cs="CESI楷体-GB2312"/>
                <w:b w:val="0"/>
                <w:bCs w:val="0"/>
                <w:i w:val="0"/>
                <w:iCs w:val="0"/>
                <w:color w:val="000000"/>
                <w:kern w:val="0"/>
                <w:sz w:val="28"/>
                <w:szCs w:val="28"/>
                <w:lang w:val="en-US" w:eastAsia="zh-CN" w:bidi="ar"/>
              </w:rPr>
              <w:t>专栏5  实施金融支持绿色低碳行动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8600" w:type="dxa"/>
          </w:tcPr>
          <w:p>
            <w:pPr>
              <w:pageBreakBefore w:val="0"/>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b w:val="0"/>
                <w:bCs w:val="0"/>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1</w:t>
            </w:r>
            <w:r>
              <w:rPr>
                <w:rFonts w:hint="eastAsia" w:ascii="仿宋_GB2312" w:eastAsia="仿宋_GB2312" w:cs="Times New Roman"/>
                <w:b w:val="0"/>
                <w:bCs w:val="0"/>
                <w:i w:val="0"/>
                <w:iCs w:val="0"/>
                <w:color w:val="000000"/>
                <w:kern w:val="0"/>
                <w:sz w:val="28"/>
                <w:szCs w:val="28"/>
                <w:lang w:val="en-US" w:eastAsia="zh-CN" w:bidi="ar"/>
              </w:rPr>
              <w:t>.</w:t>
            </w:r>
            <w:r>
              <w:rPr>
                <w:rFonts w:hint="eastAsia" w:ascii="仿宋_GB2312" w:eastAsia="仿宋_GB2312" w:cs="Times New Roman" w:hAnsiTheme="minorHAnsi"/>
                <w:b w:val="0"/>
                <w:bCs w:val="0"/>
                <w:i w:val="0"/>
                <w:iCs w:val="0"/>
                <w:color w:val="000000"/>
                <w:kern w:val="0"/>
                <w:sz w:val="28"/>
                <w:szCs w:val="28"/>
                <w:lang w:val="en-US" w:eastAsia="zh-CN" w:bidi="ar"/>
              </w:rPr>
              <w:t>支持金融机构主动转型。鼓励金融企业开展内部架构改革，设立绿色金融事业部、绿色金融特色网点，开辟绿色信贷研发、审批、推广专项通道，配套绿色信贷专项规模。支持地方法人金融机构完善绿色金融发展战略布局，提高绿色金融发展能力。</w:t>
            </w:r>
          </w:p>
          <w:p>
            <w:pPr>
              <w:pageBreakBefore w:val="0"/>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b w:val="0"/>
                <w:bCs w:val="0"/>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2</w:t>
            </w:r>
            <w:r>
              <w:rPr>
                <w:rFonts w:hint="eastAsia" w:ascii="仿宋_GB2312" w:eastAsia="仿宋_GB2312" w:cs="Times New Roman"/>
                <w:b w:val="0"/>
                <w:bCs w:val="0"/>
                <w:i w:val="0"/>
                <w:iCs w:val="0"/>
                <w:color w:val="000000"/>
                <w:kern w:val="0"/>
                <w:sz w:val="28"/>
                <w:szCs w:val="28"/>
                <w:lang w:val="en-US" w:eastAsia="zh-CN" w:bidi="ar"/>
              </w:rPr>
              <w:t>.</w:t>
            </w:r>
            <w:r>
              <w:rPr>
                <w:rFonts w:hint="eastAsia" w:ascii="仿宋_GB2312" w:eastAsia="仿宋_GB2312" w:cs="Times New Roman" w:hAnsiTheme="minorHAnsi"/>
                <w:b w:val="0"/>
                <w:bCs w:val="0"/>
                <w:i w:val="0"/>
                <w:iCs w:val="0"/>
                <w:color w:val="000000"/>
                <w:kern w:val="0"/>
                <w:sz w:val="28"/>
                <w:szCs w:val="28"/>
                <w:lang w:val="en-US" w:eastAsia="zh-CN" w:bidi="ar"/>
              </w:rPr>
              <w:t>丰富绿色金融产品。探索多种形式的绿色贷款模式，加大对绿色能源、绿色交通、绿色制造、绿色建筑等支持力度。积极开发绿色消费贷、绿色按揭贷、绿色理财等金融产品。完善绿色保险产品及服务体系，扩大环境污染责任保险覆盖面，探索建立应对气候变化风险的巨灾保险服务机制。</w:t>
            </w:r>
          </w:p>
          <w:p>
            <w:pPr>
              <w:pageBreakBefore w:val="0"/>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b w:val="0"/>
                <w:bCs w:val="0"/>
                <w:i w:val="0"/>
                <w:iCs w:val="0"/>
                <w:color w:val="000000"/>
                <w:kern w:val="0"/>
                <w:sz w:val="28"/>
                <w:szCs w:val="28"/>
                <w:vertAlign w:val="baseline"/>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3</w:t>
            </w:r>
            <w:r>
              <w:rPr>
                <w:rFonts w:hint="eastAsia" w:ascii="仿宋_GB2312" w:eastAsia="仿宋_GB2312" w:cs="Times New Roman"/>
                <w:b w:val="0"/>
                <w:bCs w:val="0"/>
                <w:i w:val="0"/>
                <w:iCs w:val="0"/>
                <w:color w:val="000000"/>
                <w:kern w:val="0"/>
                <w:sz w:val="28"/>
                <w:szCs w:val="28"/>
                <w:lang w:val="en-US" w:eastAsia="zh-CN" w:bidi="ar"/>
              </w:rPr>
              <w:t>.</w:t>
            </w:r>
            <w:r>
              <w:rPr>
                <w:rFonts w:hint="eastAsia" w:ascii="仿宋_GB2312" w:eastAsia="仿宋_GB2312" w:cs="Times New Roman" w:hAnsiTheme="minorHAnsi"/>
                <w:b w:val="0"/>
                <w:bCs w:val="0"/>
                <w:i w:val="0"/>
                <w:iCs w:val="0"/>
                <w:color w:val="000000"/>
                <w:kern w:val="0"/>
                <w:sz w:val="28"/>
                <w:szCs w:val="28"/>
                <w:lang w:val="en-US" w:eastAsia="zh-CN" w:bidi="ar"/>
              </w:rPr>
              <w:t>建立健全绿色金融发展基础体系。进一步完善财政贴息、奖补等政策体系，鼓励引导金融企业和绿色产业企业等市场主体积极推广运用绿色金融产品和服务。</w:t>
            </w:r>
            <w:r>
              <w:rPr>
                <w:rFonts w:hint="eastAsia" w:ascii="仿宋_GB2312" w:eastAsia="仿宋_GB2312" w:cs="Times New Roman"/>
                <w:b w:val="0"/>
                <w:bCs w:val="0"/>
                <w:i w:val="0"/>
                <w:iCs w:val="0"/>
                <w:color w:val="000000"/>
                <w:kern w:val="0"/>
                <w:sz w:val="28"/>
                <w:szCs w:val="28"/>
                <w:lang w:val="en-US" w:eastAsia="zh-CN" w:bidi="ar"/>
              </w:rPr>
              <w:t>、</w:t>
            </w:r>
            <w:r>
              <w:rPr>
                <w:rFonts w:hint="eastAsia" w:ascii="仿宋_GB2312" w:eastAsia="仿宋_GB2312" w:cs="Times New Roman" w:hAnsiTheme="minorHAnsi"/>
                <w:b w:val="0"/>
                <w:bCs w:val="0"/>
                <w:i w:val="0"/>
                <w:iCs w:val="0"/>
                <w:color w:val="000000"/>
                <w:kern w:val="0"/>
                <w:sz w:val="28"/>
                <w:szCs w:val="28"/>
                <w:lang w:val="en-US" w:eastAsia="zh-CN" w:bidi="ar"/>
              </w:rPr>
              <w:t>因地制宜制定绿色产业、企业和项目识别认定办法，实行动态更新和定期推介，建立“绿色企业项目库”。</w:t>
            </w:r>
          </w:p>
        </w:tc>
      </w:tr>
    </w:tbl>
    <w:p>
      <w:pPr>
        <w:keepNext/>
        <w:keepLines/>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jc w:val="center"/>
        <w:textAlignment w:val="auto"/>
        <w:outlineLvl w:val="0"/>
        <w:rPr>
          <w:rFonts w:hint="eastAsia" w:ascii="CESI黑体-GB2312" w:hAnsi="CESI黑体-GB2312" w:eastAsia="CESI黑体-GB2312" w:cs="CESI黑体-GB2312"/>
          <w:b w:val="0"/>
          <w:bCs w:val="0"/>
          <w:snapToGrid w:val="0"/>
          <w:kern w:val="0"/>
          <w:sz w:val="32"/>
          <w:szCs w:val="32"/>
          <w:lang w:val="en-US" w:eastAsia="zh-CN" w:bidi="ar-SA"/>
        </w:rPr>
      </w:pPr>
      <w:bookmarkStart w:id="66" w:name="_Toc339646699_WPSOffice_Level2"/>
      <w:r>
        <w:rPr>
          <w:rFonts w:hint="eastAsia" w:ascii="黑体" w:hAnsi="黑体" w:eastAsia="黑体" w:cs="黑体"/>
          <w:b w:val="0"/>
          <w:bCs w:val="0"/>
          <w:snapToGrid w:val="0"/>
          <w:kern w:val="0"/>
          <w:sz w:val="32"/>
          <w:szCs w:val="32"/>
          <w:lang w:val="en-US" w:eastAsia="zh-CN" w:bidi="ar-SA"/>
        </w:rPr>
        <w:br w:type="textWrapping"/>
      </w:r>
      <w:bookmarkStart w:id="67" w:name="_Toc209895767_WPSOffice_Level2"/>
      <w:r>
        <w:rPr>
          <w:rFonts w:hint="eastAsia" w:ascii="CESI黑体-GB2312" w:hAnsi="CESI黑体-GB2312" w:eastAsia="CESI黑体-GB2312" w:cs="CESI黑体-GB2312"/>
          <w:b w:val="0"/>
          <w:bCs w:val="0"/>
          <w:sz w:val="32"/>
          <w:szCs w:val="32"/>
          <w:lang w:eastAsia="zh-CN"/>
        </w:rPr>
        <w:t>第六节</w:t>
      </w:r>
      <w:r>
        <w:rPr>
          <w:rFonts w:hint="eastAsia" w:ascii="CESI黑体-GB2312" w:hAnsi="CESI黑体-GB2312" w:eastAsia="CESI黑体-GB2312" w:cs="CESI黑体-GB2312"/>
          <w:b w:val="0"/>
          <w:bCs w:val="0"/>
          <w:sz w:val="32"/>
          <w:szCs w:val="32"/>
          <w:lang w:val="en-US" w:eastAsia="zh-CN"/>
        </w:rPr>
        <w:t xml:space="preserve">  </w:t>
      </w:r>
      <w:r>
        <w:rPr>
          <w:rFonts w:hint="eastAsia" w:ascii="CESI黑体-GB2312" w:hAnsi="CESI黑体-GB2312" w:eastAsia="CESI黑体-GB2312" w:cs="CESI黑体-GB2312"/>
          <w:b w:val="0"/>
          <w:bCs w:val="0"/>
          <w:snapToGrid w:val="0"/>
          <w:kern w:val="0"/>
          <w:sz w:val="32"/>
          <w:szCs w:val="32"/>
          <w:lang w:val="en-US" w:eastAsia="zh-CN" w:bidi="ar-SA"/>
        </w:rPr>
        <w:t>探索金融支持文旅康养新路径</w:t>
      </w:r>
      <w:bookmarkEnd w:id="67"/>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i w:val="0"/>
          <w:iCs w:val="0"/>
          <w:color w:val="000000"/>
          <w:kern w:val="0"/>
          <w:sz w:val="32"/>
          <w:szCs w:val="32"/>
          <w:lang w:val="en-US" w:eastAsia="zh-CN" w:bidi="ar"/>
        </w:rPr>
        <w:t>紧紧围绕打造区域性文旅康养目的地城市战略目标，针对文旅康养行业特点创新金融服务、增加金融供给，构建</w:t>
      </w:r>
      <w:r>
        <w:rPr>
          <w:rFonts w:hint="eastAsia" w:ascii="仿宋_GB2312" w:eastAsia="仿宋_GB2312" w:cs="Times New Roman"/>
          <w:i w:val="0"/>
          <w:iCs w:val="0"/>
          <w:color w:val="000000"/>
          <w:kern w:val="0"/>
          <w:sz w:val="32"/>
          <w:szCs w:val="32"/>
          <w:lang w:val="en-US" w:eastAsia="zh-CN" w:bidi="ar"/>
        </w:rPr>
        <w:t>特色</w:t>
      </w:r>
      <w:r>
        <w:rPr>
          <w:rFonts w:hint="eastAsia" w:ascii="仿宋_GB2312" w:eastAsia="仿宋_GB2312" w:cs="Times New Roman" w:hAnsiTheme="minorHAnsi"/>
          <w:i w:val="0"/>
          <w:iCs w:val="0"/>
          <w:color w:val="000000"/>
          <w:kern w:val="0"/>
          <w:sz w:val="32"/>
          <w:szCs w:val="32"/>
          <w:lang w:val="en-US" w:eastAsia="zh-CN" w:bidi="ar"/>
        </w:rPr>
        <w:t>化、精准化金融支持体系，深入推进文旅康养产业与金融深度融合发展。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加大对文旅产业金融支持。</w:t>
      </w:r>
      <w:r>
        <w:rPr>
          <w:rFonts w:hint="eastAsia" w:ascii="仿宋_GB2312" w:eastAsia="仿宋_GB2312" w:cs="Times New Roman" w:hAnsiTheme="minorHAnsi"/>
          <w:i w:val="0"/>
          <w:iCs w:val="0"/>
          <w:color w:val="000000"/>
          <w:kern w:val="0"/>
          <w:sz w:val="32"/>
          <w:szCs w:val="32"/>
          <w:lang w:val="en-US" w:eastAsia="zh-CN" w:bidi="ar"/>
        </w:rPr>
        <w:t>加强文化旅游部门与金融管理部门的对接沟通，以金融辅导、首贷培植等为载体，开展面向文化和旅游产业的高质效银企对接活动。对列入文化出口重点企业标准的文旅企业，文化创意和精品旅游产业集群领军企业及行业龙头企业，鼓励金融机构积极对接，开通审查审批“绿色通道”，给予资金支持。创新开发文化旅游主题信用卡、信贷产品，开展景区经营权、门票收入权质押等融资业务，开发和推广“随借随还”类信贷产品，积极提高市场主体融资的便利性。鼓励银行等金融机构在合法合规前提下，探索文旅债券、文旅基金、文旅保险等文旅金融产品。深挖细挖文化旅游产业优质上市后备资源，有针对性地做好培育服务，推动企业上市融资。鼓励完善文旅保险产品供给，鼓励保险公司开发覆盖旅游各节点的一站式保险产品，开发针对不同旅游方式、不同旅游地区及不同年龄群体需求的保险产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CESI黑体-GB2312" w:hAnsi="CESI黑体-GB2312" w:eastAsia="CESI黑体-GB2312" w:cs="CESI黑体-GB2312"/>
          <w:sz w:val="36"/>
          <w:szCs w:val="36"/>
          <w:lang w:eastAsia="zh-CN"/>
        </w:rPr>
      </w:pPr>
      <w:r>
        <w:rPr>
          <w:rFonts w:hint="eastAsia" w:ascii="仿宋_GB2312" w:eastAsia="仿宋_GB2312" w:cs="Times New Roman" w:hAnsiTheme="minorHAnsi"/>
          <w:b/>
          <w:bCs/>
          <w:i w:val="0"/>
          <w:iCs w:val="0"/>
          <w:color w:val="000000"/>
          <w:kern w:val="0"/>
          <w:sz w:val="32"/>
          <w:szCs w:val="32"/>
          <w:lang w:val="en-US" w:eastAsia="zh-CN" w:bidi="ar"/>
        </w:rPr>
        <w:t>加大对康养产业金融支持。</w:t>
      </w:r>
      <w:r>
        <w:rPr>
          <w:rFonts w:hint="eastAsia" w:ascii="仿宋_GB2312" w:eastAsia="仿宋_GB2312" w:cs="Times New Roman" w:hAnsiTheme="minorHAnsi"/>
          <w:i w:val="0"/>
          <w:iCs w:val="0"/>
          <w:color w:val="000000"/>
          <w:kern w:val="0"/>
          <w:sz w:val="32"/>
          <w:szCs w:val="32"/>
          <w:lang w:val="en-US" w:eastAsia="zh-CN" w:bidi="ar"/>
        </w:rPr>
        <w:t>推动银行机构落实金融支持养老服务业发展的政策措施，探索养老服务机构运用土地使用权、房产、收费权等抵质押贷款的可行有效模式。加大创业担保贷款投放力度，支持社区小型家政、健康服务机构发展。</w:t>
      </w:r>
      <w:r>
        <w:rPr>
          <w:rFonts w:hint="default" w:ascii="Times New Roman" w:hAnsi="Times New Roman" w:eastAsia="仿宋_GB2312" w:cs="Times New Roman"/>
          <w:b w:val="0"/>
          <w:bCs w:val="0"/>
          <w:i w:val="0"/>
          <w:iCs w:val="0"/>
          <w:color w:val="000000"/>
          <w:sz w:val="32"/>
          <w:szCs w:val="32"/>
          <w:lang w:val="en-US" w:eastAsia="zh-CN"/>
        </w:rPr>
        <w:t>支持采取政府和社会资本合作（PPP）模式发展养老机构，鼓励银行、证券等金融机构创新适合PPP项目的融资机制，为社会资本投资参与养老服务业提供融资支持。</w:t>
      </w:r>
      <w:r>
        <w:rPr>
          <w:rFonts w:hint="eastAsia" w:ascii="仿宋_GB2312" w:eastAsia="仿宋_GB2312" w:cs="Times New Roman" w:hAnsiTheme="minorHAnsi"/>
          <w:i w:val="0"/>
          <w:iCs w:val="0"/>
          <w:color w:val="000000"/>
          <w:kern w:val="0"/>
          <w:sz w:val="32"/>
          <w:szCs w:val="32"/>
          <w:lang w:val="en-US" w:eastAsia="zh-CN" w:bidi="ar"/>
        </w:rPr>
        <w:t>鼓励各类经营场所保留传统金融服务方式，满足老年人现金支付需求。创新养老保险产品，加快发展商业养老保险、长期护理保险、大病医疗保险，促进保险与养老服务业融合发展。</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both"/>
        <w:textAlignment w:val="auto"/>
        <w:rPr>
          <w:rFonts w:hint="eastAsia" w:ascii="CESI黑体-GB2312" w:hAnsi="CESI黑体-GB2312" w:eastAsia="CESI黑体-GB2312" w:cs="CESI黑体-GB2312"/>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0"/>
        <w:jc w:val="center"/>
        <w:textAlignment w:val="auto"/>
        <w:outlineLvl w:val="0"/>
        <w:rPr>
          <w:rFonts w:hint="eastAsia" w:ascii="CESI黑体-GB2312" w:hAnsi="CESI黑体-GB2312" w:eastAsia="CESI黑体-GB2312" w:cs="CESI黑体-GB2312"/>
          <w:b w:val="0"/>
          <w:bCs w:val="0"/>
          <w:sz w:val="32"/>
          <w:szCs w:val="32"/>
          <w:lang w:eastAsia="zh-CN"/>
        </w:rPr>
      </w:pPr>
      <w:bookmarkStart w:id="68" w:name="_Toc1416099066_WPSOffice_Level2"/>
      <w:r>
        <w:rPr>
          <w:rFonts w:hint="eastAsia" w:ascii="CESI黑体-GB2312" w:hAnsi="CESI黑体-GB2312" w:eastAsia="CESI黑体-GB2312" w:cs="CESI黑体-GB2312"/>
          <w:kern w:val="0"/>
          <w:sz w:val="32"/>
          <w:szCs w:val="32"/>
          <w:lang w:val="en-US" w:eastAsia="zh-CN"/>
        </w:rPr>
        <w:t>第七节 形</w:t>
      </w:r>
      <w:r>
        <w:rPr>
          <w:rFonts w:hint="eastAsia" w:ascii="CESI黑体-GB2312" w:hAnsi="CESI黑体-GB2312" w:eastAsia="CESI黑体-GB2312" w:cs="CESI黑体-GB2312"/>
          <w:b w:val="0"/>
          <w:bCs w:val="0"/>
          <w:sz w:val="32"/>
          <w:szCs w:val="32"/>
          <w:lang w:val="en-US" w:eastAsia="zh-CN"/>
        </w:rPr>
        <w:t>成金融支持</w:t>
      </w:r>
      <w:r>
        <w:rPr>
          <w:rFonts w:hint="eastAsia" w:ascii="CESI黑体-GB2312" w:hAnsi="CESI黑体-GB2312" w:eastAsia="CESI黑体-GB2312" w:cs="CESI黑体-GB2312"/>
          <w:b w:val="0"/>
          <w:bCs w:val="0"/>
          <w:sz w:val="32"/>
          <w:szCs w:val="32"/>
        </w:rPr>
        <w:t>重点项目融资</w:t>
      </w:r>
      <w:r>
        <w:rPr>
          <w:rFonts w:hint="eastAsia" w:ascii="CESI黑体-GB2312" w:hAnsi="CESI黑体-GB2312" w:eastAsia="CESI黑体-GB2312" w:cs="CESI黑体-GB2312"/>
          <w:b w:val="0"/>
          <w:bCs w:val="0"/>
          <w:sz w:val="32"/>
          <w:szCs w:val="32"/>
          <w:lang w:eastAsia="zh-CN"/>
        </w:rPr>
        <w:t>新生态</w:t>
      </w:r>
      <w:bookmarkEnd w:id="68"/>
    </w:p>
    <w:p>
      <w:pPr>
        <w:pStyle w:val="5"/>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0" w:firstLine="640" w:firstLineChars="200"/>
        <w:jc w:val="both"/>
        <w:textAlignment w:val="auto"/>
        <w:outlineLvl w:val="0"/>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val="0"/>
          <w:bCs w:val="0"/>
          <w:snapToGrid w:val="0"/>
          <w:kern w:val="0"/>
          <w:sz w:val="32"/>
          <w:szCs w:val="32"/>
          <w:lang w:val="en-US" w:eastAsia="zh-CN" w:bidi="ar-SA"/>
        </w:rPr>
        <w:t>深入贯彻落实“项目为王”理念，整合各类金融资源，进一步创新重点项目融资推进、融资保障、融资畅通等各项机制，为新旧动能重大项目建设提供最优金融服务。</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CESI仿宋-GB2312"/>
          <w:sz w:val="32"/>
          <w:szCs w:val="32"/>
        </w:rPr>
      </w:pPr>
      <w:r>
        <w:rPr>
          <w:rFonts w:hint="eastAsia" w:ascii="CESI仿宋-GB2312" w:hAnsi="CESI仿宋-GB2312" w:eastAsia="CESI仿宋-GB2312" w:cs="CESI仿宋-GB2312"/>
          <w:b/>
          <w:bCs/>
          <w:snapToGrid w:val="0"/>
          <w:kern w:val="0"/>
          <w:sz w:val="32"/>
          <w:szCs w:val="32"/>
          <w:lang w:val="en-US" w:eastAsia="zh-CN" w:bidi="ar-SA"/>
        </w:rPr>
        <w:t>建立政策性金融重大项目对接机制。</w:t>
      </w:r>
      <w:r>
        <w:rPr>
          <w:rFonts w:hint="eastAsia" w:ascii="CESI仿宋-GB2312" w:hAnsi="CESI仿宋-GB2312" w:eastAsia="CESI仿宋-GB2312" w:cs="CESI仿宋-GB2312"/>
          <w:b w:val="0"/>
          <w:bCs w:val="0"/>
          <w:snapToGrid w:val="0"/>
          <w:kern w:val="0"/>
          <w:sz w:val="32"/>
          <w:szCs w:val="32"/>
          <w:lang w:val="en-US" w:eastAsia="zh-CN" w:bidi="ar-SA"/>
        </w:rPr>
        <w:t>强化与国开行、农发行、进出口银行等政策性金融机构的长期战略合作，重大项目提前介入，为重大项目规划编制、融资方案设计、融资风险管控等环节全流程提供重大项目建设融资服务。积极推进“金融样板县”等项目实施，探索重点项目融资新模式，有效利用中长期政策性资金推动城市基础设施的改造。</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CESI仿宋-GB2312"/>
          <w:sz w:val="32"/>
          <w:szCs w:val="32"/>
        </w:rPr>
      </w:pPr>
      <w:r>
        <w:rPr>
          <w:rFonts w:hint="eastAsia" w:ascii="CESI仿宋-GB2312" w:hAnsi="CESI仿宋-GB2312" w:eastAsia="CESI仿宋-GB2312" w:cs="CESI仿宋-GB2312"/>
          <w:b/>
          <w:bCs/>
          <w:snapToGrid w:val="0"/>
          <w:kern w:val="0"/>
          <w:sz w:val="32"/>
          <w:szCs w:val="32"/>
          <w:lang w:val="en-US" w:eastAsia="zh-CN" w:bidi="ar-SA"/>
        </w:rPr>
        <w:t>创新重大项目融资相关机制。</w:t>
      </w:r>
      <w:r>
        <w:rPr>
          <w:rFonts w:hint="eastAsia" w:ascii="CESI仿宋-GB2312" w:hAnsi="CESI仿宋-GB2312" w:eastAsia="CESI仿宋-GB2312" w:cs="CESI仿宋-GB2312"/>
          <w:b w:val="0"/>
          <w:bCs w:val="0"/>
          <w:snapToGrid w:val="0"/>
          <w:kern w:val="0"/>
          <w:sz w:val="32"/>
          <w:szCs w:val="32"/>
          <w:lang w:val="en-US" w:eastAsia="zh-CN" w:bidi="ar-SA"/>
        </w:rPr>
        <w:t>健全优化项目组工作机制，不断更新完善重大项目融资储备库，每个项目组配备项目专员与协调专员。建立监测分析机制，及时跟进项目建设进展，剖析制约项目建设和融资对接的因素，研究解决对策。强化激励机制，充分发挥再贷款、再贴现等货币政策工具的正向激励作用，对支持新旧动能转换重大工程成绩突出的机构，在再贷款等政策执行中优先支持。鼓励银行金融机构通过银团贷款等方式支持重点项目建设。</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6"/>
          <w:szCs w:val="36"/>
          <w:lang w:eastAsia="zh-CN"/>
        </w:rPr>
      </w:pPr>
      <w:r>
        <w:rPr>
          <w:rFonts w:hint="eastAsia" w:ascii="CESI仿宋-GB2312" w:hAnsi="CESI仿宋-GB2312" w:eastAsia="CESI仿宋-GB2312" w:cs="CESI仿宋-GB2312"/>
          <w:b/>
          <w:bCs/>
          <w:snapToGrid w:val="0"/>
          <w:kern w:val="0"/>
          <w:sz w:val="32"/>
          <w:szCs w:val="32"/>
          <w:lang w:val="en-US" w:eastAsia="zh-CN" w:bidi="ar-SA"/>
        </w:rPr>
        <w:t>拓宽重大项目融资渠道。</w:t>
      </w:r>
      <w:r>
        <w:rPr>
          <w:rFonts w:hint="eastAsia" w:ascii="CESI仿宋-GB2312" w:hAnsi="CESI仿宋-GB2312" w:eastAsia="CESI仿宋-GB2312" w:cs="CESI仿宋-GB2312"/>
          <w:b w:val="0"/>
          <w:bCs w:val="0"/>
          <w:snapToGrid w:val="0"/>
          <w:kern w:val="0"/>
          <w:sz w:val="32"/>
          <w:szCs w:val="32"/>
          <w:lang w:val="en-US" w:eastAsia="zh-CN" w:bidi="ar-SA"/>
        </w:rPr>
        <w:t>鼓励支持符合条件的新旧动能转换企业发行企业债、公司债、短期融资券、中期票据、集合票据等各类债券融资工具，拓宽融资渠道，降低融资成本，调整债务结构。坚持政府投入和市场化机制相结合，积极争取专项债规模，采用PPP、基础设施领域不动产投资基金等办法吸引社会资本。积极争取保险资金运用，引导全市各保险机构主动加强与上级保险资产管理公司的沟通，发挥好纽带作用，积极推荐我市重点项目。</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both"/>
        <w:textAlignment w:val="auto"/>
        <w:rPr>
          <w:rFonts w:hint="eastAsia" w:ascii="CESI黑体-GB2312" w:hAnsi="CESI黑体-GB2312" w:eastAsia="CESI黑体-GB2312" w:cs="CESI黑体-GB2312"/>
          <w:sz w:val="36"/>
          <w:szCs w:val="36"/>
          <w:lang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bookmarkEnd w:id="66"/>
    <w:p>
      <w:pPr>
        <w:pStyle w:val="1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720" w:firstLineChars="200"/>
        <w:jc w:val="both"/>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6"/>
          <w:szCs w:val="36"/>
          <w:lang w:val="en-US" w:eastAsia="zh-CN" w:bidi="ar-SA"/>
        </w:rPr>
        <w:t xml:space="preserve"> </w:t>
      </w:r>
      <w:r>
        <w:rPr>
          <w:rFonts w:hint="eastAsia" w:ascii="黑体" w:hAnsi="黑体" w:eastAsia="黑体" w:cs="CESI黑体-GB2312"/>
          <w:b w:val="0"/>
          <w:bCs w:val="0"/>
          <w:sz w:val="32"/>
          <w:szCs w:val="32"/>
          <w:lang w:eastAsia="zh-CN"/>
        </w:rPr>
        <w:t>聚焦区域金融安全</w:t>
      </w:r>
      <w:r>
        <w:rPr>
          <w:rFonts w:hint="eastAsia" w:ascii="黑体" w:hAnsi="黑体" w:eastAsia="黑体" w:cs="CESI黑体-GB2312"/>
          <w:b w:val="0"/>
          <w:bCs w:val="0"/>
          <w:sz w:val="32"/>
          <w:szCs w:val="32"/>
        </w:rPr>
        <w:t xml:space="preserve"> </w:t>
      </w:r>
      <w:r>
        <w:rPr>
          <w:rFonts w:hint="eastAsia" w:ascii="黑体" w:hAnsi="黑体" w:eastAsia="黑体" w:cs="CESI黑体-GB2312"/>
          <w:b w:val="0"/>
          <w:bCs w:val="0"/>
          <w:sz w:val="32"/>
          <w:szCs w:val="32"/>
          <w:lang w:eastAsia="zh-CN"/>
        </w:rPr>
        <w:t>实施金融防护工程</w:t>
      </w:r>
    </w:p>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200" w:right="0" w:rightChars="0"/>
        <w:jc w:val="both"/>
        <w:rPr>
          <w:rFonts w:hint="eastAsia" w:ascii="黑体" w:hAnsi="黑体" w:eastAsia="黑体" w:cs="CESI黑体-GB2312"/>
          <w:kern w:val="2"/>
          <w:sz w:val="36"/>
          <w:szCs w:val="36"/>
          <w:lang w:val="en-US" w:eastAsia="zh-CN" w:bidi="ar-SA"/>
        </w:rPr>
      </w:pP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jc w:val="center"/>
        <w:textAlignment w:val="auto"/>
        <w:rPr>
          <w:rFonts w:hint="eastAsia" w:ascii="CESI黑体-GB2312" w:hAnsi="CESI黑体-GB2312" w:eastAsia="CESI黑体-GB2312" w:cs="CESI黑体-GB2312"/>
          <w:b w:val="0"/>
          <w:bCs w:val="0"/>
          <w:snapToGrid w:val="0"/>
          <w:kern w:val="0"/>
          <w:sz w:val="32"/>
          <w:szCs w:val="32"/>
          <w:lang w:val="en-US" w:eastAsia="zh-CN" w:bidi="ar-SA"/>
        </w:rPr>
      </w:pPr>
      <w:r>
        <w:rPr>
          <w:rFonts w:hint="eastAsia" w:ascii="CESI黑体-GB2312" w:hAnsi="CESI黑体-GB2312" w:eastAsia="CESI黑体-GB2312" w:cs="CESI黑体-GB2312"/>
          <w:b w:val="0"/>
          <w:bCs w:val="0"/>
          <w:snapToGrid w:val="0"/>
          <w:kern w:val="0"/>
          <w:sz w:val="32"/>
          <w:szCs w:val="32"/>
          <w:lang w:val="en-US" w:eastAsia="zh-CN" w:bidi="ar-SA"/>
        </w:rPr>
        <w:t xml:space="preserve"> </w:t>
      </w:r>
      <w:bookmarkStart w:id="69" w:name="_Toc1602073166_WPSOffice_Level2"/>
      <w:r>
        <w:rPr>
          <w:rFonts w:hint="eastAsia" w:ascii="CESI黑体-GB2312" w:hAnsi="CESI黑体-GB2312" w:eastAsia="CESI黑体-GB2312" w:cs="CESI黑体-GB2312"/>
          <w:b w:val="0"/>
          <w:bCs w:val="0"/>
          <w:snapToGrid w:val="0"/>
          <w:kern w:val="0"/>
          <w:sz w:val="32"/>
          <w:szCs w:val="32"/>
          <w:lang w:val="en-US" w:eastAsia="zh-CN" w:bidi="ar-SA"/>
        </w:rPr>
        <w:t>健全完善风险监测预警机制</w:t>
      </w:r>
      <w:bookmarkEnd w:id="69"/>
    </w:p>
    <w:p>
      <w:pPr>
        <w:pStyle w:val="5"/>
        <w:numPr>
          <w:ilvl w:val="0"/>
          <w:numId w:val="0"/>
        </w:numPr>
        <w:rPr>
          <w:rFonts w:hint="eastAsia"/>
          <w:lang w:val="en-US" w:eastAsia="zh-CN"/>
        </w:rPr>
      </w:pPr>
    </w:p>
    <w:p>
      <w:pPr>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 w:hAnsi="仿宋" w:eastAsia="仿宋" w:cs="CESI仿宋-GB2312"/>
          <w:bCs/>
          <w:sz w:val="32"/>
          <w:szCs w:val="32"/>
          <w:lang w:eastAsia="zh-CN"/>
        </w:rPr>
        <w:t>坚持</w:t>
      </w:r>
      <w:r>
        <w:rPr>
          <w:rFonts w:hint="eastAsia" w:ascii="仿宋_GB2312" w:eastAsia="仿宋_GB2312" w:cs="Times New Roman"/>
          <w:b w:val="0"/>
          <w:bCs w:val="0"/>
          <w:i w:val="0"/>
          <w:iCs w:val="0"/>
          <w:color w:val="000000"/>
          <w:sz w:val="32"/>
          <w:szCs w:val="32"/>
          <w:lang w:val="en-US" w:eastAsia="zh-CN"/>
        </w:rPr>
        <w:t>“防范”为先，不断健全金融风险防控机制、强化大数据手段在风险监测领域的运用，</w:t>
      </w:r>
      <w:r>
        <w:rPr>
          <w:rFonts w:hint="default" w:ascii="仿宋_GB2312" w:eastAsia="仿宋_GB2312" w:cs="Times New Roman"/>
          <w:b w:val="0"/>
          <w:bCs w:val="0"/>
          <w:i w:val="0"/>
          <w:iCs w:val="0"/>
          <w:color w:val="000000"/>
          <w:sz w:val="32"/>
          <w:szCs w:val="32"/>
          <w:lang w:val="en-US" w:eastAsia="zh-CN"/>
        </w:rPr>
        <w:t>形成及时发现、准确研判、有效防控、责权明晰的风险防控体系。</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健全地方党政主要领导负责的金融风险防控处置机制。</w:t>
      </w:r>
      <w:r>
        <w:rPr>
          <w:rFonts w:hint="eastAsia" w:ascii="仿宋_GB2312" w:eastAsia="仿宋_GB2312" w:cs="Times New Roman"/>
          <w:b w:val="0"/>
          <w:bCs w:val="0"/>
          <w:i w:val="0"/>
          <w:iCs w:val="0"/>
          <w:color w:val="000000"/>
          <w:sz w:val="32"/>
          <w:szCs w:val="32"/>
          <w:lang w:val="en-US" w:eastAsia="zh-CN"/>
        </w:rPr>
        <w:t>强化金融风险防范化解，全面压紧压实区县属地责任、行业监管责任、金融机构主体责任。健全纵向议事协调机制，推进省市县三级工作联动，全面提升跨区域、跨层级系统处置能力。健全横向议事协调机制，建设地方金融监管、财政、公安、市场监管等相关部门共同参与的联合协作平台，提高跨行业协作水平，形成防范化解金融风险工作合力。</w:t>
      </w:r>
    </w:p>
    <w:p>
      <w:pPr>
        <w:pageBreakBefore w:val="0"/>
        <w:kinsoku/>
        <w:wordWrap/>
        <w:overflowPunct/>
        <w:topLinePunct w:val="0"/>
        <w:autoSpaceDE/>
        <w:autoSpaceDN/>
        <w:bidi w:val="0"/>
        <w:spacing w:line="560" w:lineRule="exact"/>
        <w:ind w:firstLine="642" w:firstLineChars="200"/>
        <w:textAlignment w:val="auto"/>
        <w:rPr>
          <w:rFonts w:ascii="仿宋" w:hAnsi="仿宋" w:eastAsia="仿宋" w:cs="CESI仿宋-GB2312"/>
          <w:bCs/>
          <w:sz w:val="32"/>
          <w:szCs w:val="32"/>
        </w:rPr>
      </w:pPr>
      <w:r>
        <w:rPr>
          <w:rFonts w:hint="eastAsia" w:ascii="仿宋_GB2312" w:eastAsia="仿宋_GB2312" w:cs="Times New Roman"/>
          <w:b/>
          <w:bCs/>
          <w:i w:val="0"/>
          <w:iCs w:val="0"/>
          <w:color w:val="000000"/>
          <w:sz w:val="32"/>
          <w:szCs w:val="32"/>
          <w:lang w:val="en-US" w:eastAsia="zh-CN"/>
        </w:rPr>
        <w:t>做好“金安工程”的建设与运用。</w:t>
      </w:r>
      <w:r>
        <w:rPr>
          <w:rFonts w:hint="eastAsia" w:ascii="仿宋_GB2312" w:eastAsia="仿宋_GB2312" w:cs="Times New Roman"/>
          <w:b w:val="0"/>
          <w:bCs w:val="0"/>
          <w:i w:val="0"/>
          <w:iCs w:val="0"/>
          <w:color w:val="000000"/>
          <w:sz w:val="32"/>
          <w:szCs w:val="32"/>
          <w:lang w:val="en-US" w:eastAsia="zh-CN"/>
        </w:rPr>
        <w:t>依托全省金融风险防控监测大数据平台，加强金融运行监测和重点领域风险研判，构建“数据跑路，部门研判，联合打击”的预警处置模式。积极探索重点企业流动性风险模块试点工作，通过构建科学合理金融风险监测指标体系及可量化的新金融特征风险模型，为企业进行“全息画像”，对金融风险进行实时动态监测分析。</w:t>
      </w:r>
    </w:p>
    <w:p>
      <w:pPr>
        <w:pageBreakBefore w:val="0"/>
        <w:widowControl/>
        <w:kinsoku/>
        <w:wordWrap/>
        <w:overflowPunct/>
        <w:topLinePunct w:val="0"/>
        <w:autoSpaceDE/>
        <w:autoSpaceDN/>
        <w:bidi w:val="0"/>
        <w:spacing w:line="56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 w:hAnsi="仿宋" w:eastAsia="仿宋" w:cs="CESI仿宋-GB2312"/>
          <w:b/>
          <w:bCs/>
          <w:kern w:val="0"/>
          <w:sz w:val="32"/>
          <w:szCs w:val="32"/>
          <w:lang w:eastAsia="zh-CN"/>
        </w:rPr>
        <w:t>落地</w:t>
      </w:r>
      <w:r>
        <w:rPr>
          <w:rFonts w:hint="eastAsia" w:ascii="仿宋" w:hAnsi="仿宋" w:eastAsia="仿宋" w:cs="CESI仿宋-GB2312"/>
          <w:b/>
          <w:bCs/>
          <w:kern w:val="0"/>
          <w:sz w:val="32"/>
          <w:szCs w:val="32"/>
        </w:rPr>
        <w:t>地方金融运行动态监测系统</w:t>
      </w:r>
      <w:r>
        <w:rPr>
          <w:rFonts w:hint="eastAsia" w:ascii="仿宋" w:hAnsi="仿宋" w:eastAsia="仿宋" w:cs="CESI仿宋-GB2312"/>
          <w:b/>
          <w:bCs/>
          <w:kern w:val="0"/>
          <w:sz w:val="32"/>
          <w:szCs w:val="32"/>
          <w:lang w:eastAsia="zh-CN"/>
        </w:rPr>
        <w:t>。</w:t>
      </w:r>
      <w:r>
        <w:rPr>
          <w:rFonts w:hint="eastAsia" w:ascii="仿宋" w:hAnsi="仿宋" w:eastAsia="仿宋" w:cs="宋体"/>
          <w:color w:val="000000"/>
          <w:kern w:val="0"/>
          <w:sz w:val="32"/>
          <w:szCs w:val="32"/>
          <w:lang w:eastAsia="zh-CN" w:bidi="ar"/>
        </w:rPr>
        <w:t>推进中央驻聊</w:t>
      </w:r>
      <w:r>
        <w:rPr>
          <w:rFonts w:ascii="仿宋" w:hAnsi="仿宋" w:eastAsia="仿宋" w:cs="宋体"/>
          <w:color w:val="000000"/>
          <w:kern w:val="0"/>
          <w:sz w:val="32"/>
          <w:szCs w:val="32"/>
          <w:lang w:bidi="ar"/>
        </w:rPr>
        <w:t>金融</w:t>
      </w:r>
      <w:r>
        <w:rPr>
          <w:rFonts w:hint="eastAsia" w:ascii="仿宋" w:hAnsi="仿宋" w:eastAsia="仿宋" w:cs="宋体"/>
          <w:color w:val="000000"/>
          <w:kern w:val="0"/>
          <w:sz w:val="32"/>
          <w:szCs w:val="32"/>
          <w:lang w:eastAsia="zh-CN" w:bidi="ar"/>
        </w:rPr>
        <w:t>管理</w:t>
      </w:r>
      <w:r>
        <w:rPr>
          <w:rFonts w:ascii="仿宋" w:hAnsi="仿宋" w:eastAsia="仿宋" w:cs="宋体"/>
          <w:color w:val="000000"/>
          <w:kern w:val="0"/>
          <w:sz w:val="32"/>
          <w:szCs w:val="32"/>
          <w:lang w:bidi="ar"/>
        </w:rPr>
        <w:t>部门、</w:t>
      </w:r>
      <w:r>
        <w:rPr>
          <w:rFonts w:hint="eastAsia" w:ascii="仿宋" w:hAnsi="仿宋" w:eastAsia="仿宋" w:cs="宋体"/>
          <w:color w:val="000000"/>
          <w:kern w:val="0"/>
          <w:sz w:val="32"/>
          <w:szCs w:val="32"/>
          <w:lang w:eastAsia="zh-CN" w:bidi="ar"/>
        </w:rPr>
        <w:t>地方金融监管部门、</w:t>
      </w:r>
      <w:r>
        <w:rPr>
          <w:rFonts w:ascii="仿宋" w:hAnsi="仿宋" w:eastAsia="仿宋" w:cs="宋体"/>
          <w:color w:val="000000"/>
          <w:kern w:val="0"/>
          <w:sz w:val="32"/>
          <w:szCs w:val="32"/>
          <w:lang w:bidi="ar"/>
        </w:rPr>
        <w:t>财政部门、</w:t>
      </w:r>
      <w:r>
        <w:rPr>
          <w:rFonts w:hint="eastAsia" w:ascii="仿宋" w:hAnsi="仿宋" w:eastAsia="仿宋" w:cs="宋体"/>
          <w:color w:val="000000"/>
          <w:kern w:val="0"/>
          <w:sz w:val="32"/>
          <w:szCs w:val="32"/>
          <w:lang w:eastAsia="zh-CN" w:bidi="ar"/>
        </w:rPr>
        <w:t>科技</w:t>
      </w:r>
      <w:r>
        <w:rPr>
          <w:rFonts w:ascii="仿宋" w:hAnsi="仿宋" w:eastAsia="仿宋" w:cs="宋体"/>
          <w:color w:val="000000"/>
          <w:kern w:val="0"/>
          <w:sz w:val="32"/>
          <w:szCs w:val="32"/>
          <w:lang w:bidi="ar"/>
        </w:rPr>
        <w:t>部门等</w:t>
      </w:r>
      <w:r>
        <w:rPr>
          <w:rFonts w:hint="eastAsia" w:ascii="仿宋" w:hAnsi="仿宋" w:eastAsia="仿宋" w:cs="宋体"/>
          <w:color w:val="000000"/>
          <w:kern w:val="0"/>
          <w:sz w:val="32"/>
          <w:szCs w:val="32"/>
          <w:lang w:eastAsia="zh-CN" w:bidi="ar"/>
        </w:rPr>
        <w:t>部门间的</w:t>
      </w:r>
      <w:r>
        <w:rPr>
          <w:rFonts w:ascii="仿宋" w:hAnsi="仿宋" w:eastAsia="仿宋" w:cs="宋体"/>
          <w:color w:val="000000"/>
          <w:kern w:val="0"/>
          <w:sz w:val="32"/>
          <w:szCs w:val="32"/>
          <w:lang w:bidi="ar"/>
        </w:rPr>
        <w:t>数据共享，构建全面反映地方金融动态运行情况的“聊城指数”，</w:t>
      </w:r>
      <w:r>
        <w:rPr>
          <w:rFonts w:hint="eastAsia" w:ascii="仿宋" w:hAnsi="仿宋" w:eastAsia="仿宋" w:cs="宋体"/>
          <w:color w:val="000000"/>
          <w:kern w:val="0"/>
          <w:sz w:val="32"/>
          <w:szCs w:val="32"/>
          <w:lang w:eastAsia="zh-CN" w:bidi="ar"/>
        </w:rPr>
        <w:t>打造</w:t>
      </w:r>
      <w:r>
        <w:rPr>
          <w:rFonts w:ascii="仿宋" w:hAnsi="仿宋" w:eastAsia="仿宋" w:cs="宋体"/>
          <w:color w:val="000000"/>
          <w:kern w:val="0"/>
          <w:sz w:val="32"/>
          <w:szCs w:val="32"/>
          <w:lang w:bidi="ar"/>
        </w:rPr>
        <w:t>服务于集数据采集、数据分析、预警监测、结果运用、协同处置等多位一体的闭环管理系统，促进金融</w:t>
      </w:r>
      <w:r>
        <w:rPr>
          <w:rFonts w:hint="eastAsia" w:ascii="仿宋" w:hAnsi="仿宋" w:eastAsia="仿宋" w:cs="宋体"/>
          <w:color w:val="000000"/>
          <w:kern w:val="0"/>
          <w:sz w:val="32"/>
          <w:szCs w:val="32"/>
          <w:lang w:eastAsia="zh-CN" w:bidi="ar"/>
        </w:rPr>
        <w:t>运行分析</w:t>
      </w:r>
      <w:r>
        <w:rPr>
          <w:rFonts w:ascii="仿宋" w:hAnsi="仿宋" w:eastAsia="仿宋" w:cs="宋体"/>
          <w:color w:val="000000"/>
          <w:kern w:val="0"/>
          <w:sz w:val="32"/>
          <w:szCs w:val="32"/>
          <w:lang w:bidi="ar"/>
        </w:rPr>
        <w:t>标准化、流程化，实现</w:t>
      </w:r>
      <w:r>
        <w:rPr>
          <w:rFonts w:hint="eastAsia" w:ascii="仿宋" w:hAnsi="仿宋" w:eastAsia="仿宋" w:cs="宋体"/>
          <w:color w:val="000000"/>
          <w:kern w:val="0"/>
          <w:sz w:val="32"/>
          <w:szCs w:val="32"/>
          <w:lang w:eastAsia="zh-CN" w:bidi="ar"/>
        </w:rPr>
        <w:t>区域金融趋势</w:t>
      </w:r>
      <w:r>
        <w:rPr>
          <w:rFonts w:ascii="仿宋" w:hAnsi="仿宋" w:eastAsia="仿宋" w:cs="宋体"/>
          <w:color w:val="000000"/>
          <w:kern w:val="0"/>
          <w:sz w:val="32"/>
          <w:szCs w:val="32"/>
          <w:lang w:bidi="ar"/>
        </w:rPr>
        <w:t>早识别、早预警、早处置。</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完善重大金融风险应急预案体系。</w:t>
      </w:r>
      <w:r>
        <w:rPr>
          <w:rFonts w:hint="eastAsia" w:ascii="仿宋_GB2312" w:eastAsia="仿宋_GB2312" w:cs="Times New Roman"/>
          <w:b w:val="0"/>
          <w:bCs w:val="0"/>
          <w:i w:val="0"/>
          <w:iCs w:val="0"/>
          <w:color w:val="000000"/>
          <w:sz w:val="32"/>
          <w:szCs w:val="32"/>
          <w:lang w:val="en-US" w:eastAsia="zh-CN"/>
        </w:rPr>
        <w:t>建立健全突发金融风险总体和专项应急预案，完善各类突发事件应急响应处置程序和协调联动机制，确保重大风险爆发时能够得到安全、有效处置。按照平战结合原则，定期开展突发事件应急演练和应急处置法律法规教育培训，增强应急处置法治意识，提升依法预防突发事件、先期处置和快速反应能力和公共舆情应对能力。</w:t>
      </w:r>
    </w:p>
    <w:p>
      <w:pPr>
        <w:pStyle w:val="5"/>
        <w:rPr>
          <w:rFonts w:hint="eastAsia"/>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CESI黑体-GB2312" w:hAnsi="CESI黑体-GB2312" w:eastAsia="CESI黑体-GB2312" w:cs="CESI黑体-GB2312"/>
          <w:b w:val="0"/>
          <w:bCs w:val="0"/>
          <w:snapToGrid w:val="0"/>
          <w:kern w:val="0"/>
          <w:sz w:val="32"/>
          <w:szCs w:val="32"/>
          <w:lang w:val="en-US" w:eastAsia="zh-CN" w:bidi="ar-SA"/>
        </w:rPr>
      </w:pPr>
      <w:r>
        <w:rPr>
          <w:rFonts w:hint="eastAsia" w:ascii="CESI黑体-GB2312" w:hAnsi="CESI黑体-GB2312" w:eastAsia="CESI黑体-GB2312" w:cs="CESI黑体-GB2312"/>
          <w:b w:val="0"/>
          <w:bCs w:val="0"/>
          <w:snapToGrid w:val="0"/>
          <w:kern w:val="0"/>
          <w:sz w:val="32"/>
          <w:szCs w:val="32"/>
          <w:lang w:val="en-US" w:eastAsia="zh-CN" w:bidi="ar-SA"/>
        </w:rPr>
        <w:t xml:space="preserve"> </w:t>
      </w:r>
      <w:bookmarkStart w:id="70" w:name="_Toc899523255_WPSOffice_Level2"/>
      <w:r>
        <w:rPr>
          <w:rFonts w:hint="eastAsia" w:ascii="CESI黑体-GB2312" w:hAnsi="CESI黑体-GB2312" w:eastAsia="CESI黑体-GB2312" w:cs="CESI黑体-GB2312"/>
          <w:b w:val="0"/>
          <w:bCs w:val="0"/>
          <w:snapToGrid w:val="0"/>
          <w:kern w:val="0"/>
          <w:sz w:val="32"/>
          <w:szCs w:val="32"/>
          <w:lang w:val="en-US" w:eastAsia="zh-CN" w:bidi="ar-SA"/>
        </w:rPr>
        <w:t>稳妥防范处置突出风险点</w:t>
      </w:r>
      <w:bookmarkEnd w:id="70"/>
    </w:p>
    <w:p>
      <w:pPr>
        <w:pStyle w:val="5"/>
        <w:numPr>
          <w:ilvl w:val="0"/>
          <w:numId w:val="0"/>
        </w:numPr>
        <w:ind w:leftChars="0"/>
        <w:rPr>
          <w:rFonts w:hint="eastAsia"/>
          <w:lang w:val="en-US" w:eastAsia="zh-CN"/>
        </w:rPr>
      </w:pP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稳妥推进重点企业债务风险、担保圈风险处置，统筹推动重点金融机构风险化解，加强债券、互联网等领域风险的监测和排查，严厉打击非法金融活动，守住兜牢金融安全底线。</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持续压降金融机构不良资产。</w:t>
      </w:r>
      <w:r>
        <w:rPr>
          <w:rFonts w:hint="eastAsia" w:ascii="仿宋_GB2312" w:eastAsia="仿宋_GB2312" w:cs="Times New Roman"/>
          <w:b w:val="0"/>
          <w:bCs w:val="0"/>
          <w:i w:val="0"/>
          <w:iCs w:val="0"/>
          <w:color w:val="000000"/>
          <w:sz w:val="32"/>
          <w:szCs w:val="32"/>
          <w:lang w:val="en-US" w:eastAsia="zh-CN"/>
        </w:rPr>
        <w:t>推动全国性银行分支机构争取总行倾斜支持，通过核销、清收、以物抵债、批量转让、证券化等方式，加快不良资产处置。有效发挥债权人委员会作用，制定银行债委会自律惩戒办法，强化债委会刚性约束。稳妥推进高风险地方法人银行机构的风险化解，综合运用机构自主化解、政府协调处置以及上级政策争取等各项措施，推动重点地方法人机构尽快退出高风险机构名单。积极引入或建立资产管理公司，发挥其在不良资产收购处置、资产重组等方面的功能优势，盘活问题资产、救助问题企业。</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防范化解重点领域金融风险。</w:t>
      </w:r>
      <w:r>
        <w:rPr>
          <w:rFonts w:hint="eastAsia" w:ascii="仿宋_GB2312" w:eastAsia="仿宋_GB2312" w:cs="Times New Roman"/>
          <w:b w:val="0"/>
          <w:bCs w:val="0"/>
          <w:i w:val="0"/>
          <w:iCs w:val="0"/>
          <w:color w:val="000000"/>
          <w:sz w:val="32"/>
          <w:szCs w:val="32"/>
          <w:lang w:val="en-US" w:eastAsia="zh-CN"/>
        </w:rPr>
        <w:t>强化重点企业流动性风险防控。加强风险跟踪监测和分析研判，防范企业流动性风险。加强对重点担保圈风险监测，加快破圈断链，发挥好银行业金融机构债权人委员会作用，防止风险扩散。健全完善销号管理机制，及时动态调整风险名单。完善政府债务风险和债券违约风险防范机制，定期研判风险，及时预警提醒。规范上市公司治理和内部控制，提高信息披露质量，稳妥化解上市公司股票质押等风险。认真落实国家金融监管政策，严密防控互联网金融风险、维护私募基金行业秩序、强化地方交易场所监管。</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严厉打击非法金融活动。</w:t>
      </w:r>
      <w:r>
        <w:rPr>
          <w:rFonts w:hint="eastAsia" w:ascii="仿宋_GB2312" w:eastAsia="仿宋_GB2312" w:cs="Times New Roman"/>
          <w:b w:val="0"/>
          <w:bCs w:val="0"/>
          <w:i w:val="0"/>
          <w:iCs w:val="0"/>
          <w:color w:val="000000"/>
          <w:sz w:val="32"/>
          <w:szCs w:val="32"/>
          <w:lang w:val="en-US" w:eastAsia="zh-CN"/>
        </w:rPr>
        <w:t>深入落实《防范和打击非法集资条例》，建立健全行政执法体制机制，完善行政执法与刑事司法相衔接，提升案件处置效能。组织开展非法集资风险排查整治，优化非法集资举报奖励办法，开展非法集资“零发案”辖区创建活动，打造群防群治严密防线。持续开展P2P网络借贷风险专项整治，坚决防止已退出网贷业务死灰复燃，稳妥做好输入型机构风险处置。深入推进集体融资领域突出信访问题治理，坚决守住不发生大规模群体性事件底线。</w:t>
      </w:r>
    </w:p>
    <w:p>
      <w:pPr>
        <w:pStyle w:val="5"/>
        <w:rPr>
          <w:rFonts w:hint="eastAsia"/>
          <w:lang w:val="en-US" w:eastAsia="zh-CN"/>
        </w:rPr>
      </w:pPr>
    </w:p>
    <w:p>
      <w:pPr>
        <w:keepNext/>
        <w:keepLines/>
        <w:pageBreakBefore w:val="0"/>
        <w:widowControl w:val="0"/>
        <w:numPr>
          <w:ilvl w:val="0"/>
          <w:numId w:val="7"/>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CESI黑体-GB2312" w:hAnsi="CESI黑体-GB2312" w:eastAsia="CESI黑体-GB2312" w:cs="CESI黑体-GB2312"/>
          <w:b w:val="0"/>
          <w:bCs/>
          <w:sz w:val="32"/>
          <w:szCs w:val="32"/>
          <w:lang w:eastAsia="zh-CN"/>
        </w:rPr>
      </w:pPr>
      <w:r>
        <w:rPr>
          <w:rFonts w:hint="eastAsia" w:ascii="CESI黑体-GB2312" w:hAnsi="CESI黑体-GB2312" w:eastAsia="CESI黑体-GB2312" w:cs="CESI黑体-GB2312"/>
          <w:b w:val="0"/>
          <w:bCs/>
          <w:sz w:val="32"/>
          <w:szCs w:val="32"/>
          <w:lang w:val="en-US" w:eastAsia="zh-CN"/>
        </w:rPr>
        <w:t xml:space="preserve"> </w:t>
      </w:r>
      <w:bookmarkStart w:id="71" w:name="_Toc1982700137_WPSOffice_Level2"/>
      <w:r>
        <w:rPr>
          <w:rFonts w:hint="eastAsia" w:ascii="CESI黑体-GB2312" w:hAnsi="CESI黑体-GB2312" w:eastAsia="CESI黑体-GB2312" w:cs="CESI黑体-GB2312"/>
          <w:b w:val="0"/>
          <w:bCs/>
          <w:sz w:val="32"/>
          <w:szCs w:val="32"/>
          <w:lang w:eastAsia="zh-CN"/>
        </w:rPr>
        <w:t>加强金融生态环境建设</w:t>
      </w:r>
      <w:bookmarkEnd w:id="71"/>
    </w:p>
    <w:p>
      <w:pPr>
        <w:pStyle w:val="5"/>
        <w:numPr>
          <w:ilvl w:val="0"/>
          <w:numId w:val="0"/>
        </w:numPr>
        <w:ind w:leftChars="0"/>
        <w:rPr>
          <w:rFonts w:hint="eastAsia"/>
          <w:lang w:eastAsia="zh-CN"/>
        </w:rPr>
      </w:pP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突出金融法治建设，不断完善地方金融监管制度体系，完善政策、人才、舆论等环境，推进金融环境整治，打造诚实守信的良好金融生态环境。</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完善地方金融监管制度体系</w:t>
      </w:r>
      <w:r>
        <w:rPr>
          <w:rFonts w:hint="default" w:ascii="仿宋_GB2312" w:eastAsia="仿宋_GB2312" w:cs="Times New Roman"/>
          <w:b/>
          <w:bCs/>
          <w:i w:val="0"/>
          <w:iCs w:val="0"/>
          <w:color w:val="000000"/>
          <w:sz w:val="32"/>
          <w:szCs w:val="32"/>
          <w:lang w:val="en" w:eastAsia="zh-CN"/>
        </w:rPr>
        <w:t>。</w:t>
      </w:r>
      <w:r>
        <w:rPr>
          <w:rFonts w:hint="eastAsia" w:ascii="仿宋_GB2312" w:eastAsia="仿宋_GB2312" w:cs="Times New Roman"/>
          <w:b w:val="0"/>
          <w:bCs w:val="0"/>
          <w:i w:val="0"/>
          <w:iCs w:val="0"/>
          <w:color w:val="000000"/>
          <w:sz w:val="32"/>
          <w:szCs w:val="32"/>
          <w:lang w:val="en-US" w:eastAsia="zh-CN"/>
        </w:rPr>
        <w:t>落实行政执法“三项制度”，进一步强化金融法治队伍建设，规范行政执法工作,提高行政执法效率和执法水平。健全事中事后监管制度，制定完善配套监管细则，提升各类地方金融组织业务监管水平。进一步做好“互联网+监管”、网上政务能力提升、“好差评”等工作，提升监管信息化水平。</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加强金融消费者权益保护。</w:t>
      </w:r>
      <w:r>
        <w:rPr>
          <w:rFonts w:hint="eastAsia" w:ascii="仿宋_GB2312" w:eastAsia="仿宋_GB2312" w:cs="Times New Roman"/>
          <w:b w:val="0"/>
          <w:bCs w:val="0"/>
          <w:i w:val="0"/>
          <w:iCs w:val="0"/>
          <w:color w:val="000000"/>
          <w:sz w:val="32"/>
          <w:szCs w:val="32"/>
          <w:lang w:val="en-US" w:eastAsia="zh-CN"/>
        </w:rPr>
        <w:t>强化中央驻聊金融监管部门与地方金融监管部门的合作，加大对金融欺诈、内幕交易、制售假保单、骗保骗赔、披露虚假信息等金融违法失信行为的惩戒力度。畅通金融消费者投诉维权渠道，稳步推进金融纠纷多元化解决机制和现代化诉讼服务体系建设。推进金融行业自律管理，促进行业自我规范、自我管理、自我约束、自我完善、共同提高。</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营造良好金融法治环境。</w:t>
      </w:r>
      <w:r>
        <w:rPr>
          <w:rFonts w:hint="eastAsia" w:ascii="仿宋_GB2312" w:eastAsia="仿宋_GB2312" w:cs="Times New Roman"/>
          <w:b w:val="0"/>
          <w:bCs w:val="0"/>
          <w:i w:val="0"/>
          <w:iCs w:val="0"/>
          <w:color w:val="000000"/>
          <w:sz w:val="32"/>
          <w:szCs w:val="32"/>
          <w:lang w:val="en-US" w:eastAsia="zh-CN"/>
        </w:rPr>
        <w:t>健全跨部门、跨领域、跨地区的信用监管和联合奖惩机制，强化落实守信激励、失信惩戒的相关措施，坚决打击企业脱壳经营、隐匿和转移资产、故意欠息等各类恶意逃废金融债务行为。推进财税金融法庭建设，统一金融案件裁判标准和尺度，对金融案件进行集约化审理，进一步提升金融案件审判执行质效。</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强化金融宣传和舆论引导。</w:t>
      </w:r>
      <w:r>
        <w:rPr>
          <w:rFonts w:hint="eastAsia" w:ascii="仿宋_GB2312" w:eastAsia="仿宋_GB2312" w:cs="Times New Roman"/>
          <w:b w:val="0"/>
          <w:bCs w:val="0"/>
          <w:i w:val="0"/>
          <w:iCs w:val="0"/>
          <w:color w:val="000000"/>
          <w:sz w:val="32"/>
          <w:szCs w:val="32"/>
          <w:lang w:val="en-US" w:eastAsia="zh-CN"/>
        </w:rPr>
        <w:t>强化正面宣传，加强舆论引导，及时回应金融热点问题及群众关切，为聊城市金融业高质量发展营造良好舆论环境。多渠道推进金融知识普及，创新防范非法集资宣传形式，进一步提高人民群众法律、金融知识水平和风险识别能力。发掘金融典型经验和优秀案例，做好宣传复制推广。建立健全金融舆情风险防控机制，加强监测分析和跟踪研判，稳妥有效化解舆情风险。</w:t>
      </w:r>
      <w:bookmarkEnd w:id="30"/>
    </w:p>
    <w:p>
      <w:pPr>
        <w:pStyle w:val="5"/>
        <w:rPr>
          <w:rFonts w:ascii="仿宋" w:hAnsi="仿宋" w:eastAsia="仿宋" w:cs="CESI仿宋-GB2312"/>
          <w:bCs/>
          <w:kern w:val="0"/>
          <w:sz w:val="32"/>
          <w:szCs w:val="32"/>
          <w:highlight w:val="none"/>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1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720" w:firstLineChars="200"/>
        <w:jc w:val="both"/>
        <w:rPr>
          <w:rFonts w:hint="eastAsia" w:ascii="CESI黑体-GB2312" w:hAnsi="CESI黑体-GB2312" w:eastAsia="CESI黑体-GB2312" w:cs="CESI黑体-GB2312"/>
          <w:kern w:val="2"/>
          <w:sz w:val="36"/>
          <w:szCs w:val="36"/>
          <w:lang w:val="en-US" w:eastAsia="zh-CN" w:bidi="ar-SA"/>
        </w:rPr>
      </w:pPr>
      <w:r>
        <w:rPr>
          <w:rFonts w:hint="eastAsia" w:ascii="CESI黑体-GB2312" w:hAnsi="CESI黑体-GB2312" w:eastAsia="CESI黑体-GB2312" w:cs="CESI黑体-GB2312"/>
          <w:kern w:val="2"/>
          <w:sz w:val="36"/>
          <w:szCs w:val="36"/>
          <w:lang w:val="en-US" w:eastAsia="zh-CN" w:bidi="ar-SA"/>
        </w:rPr>
        <w:t xml:space="preserve"> </w:t>
      </w:r>
      <w:bookmarkStart w:id="72" w:name="_Toc1719679573_WPSOffice_Level1"/>
      <w:r>
        <w:rPr>
          <w:rFonts w:hint="eastAsia" w:ascii="CESI黑体-GB2312" w:hAnsi="CESI黑体-GB2312" w:eastAsia="CESI黑体-GB2312" w:cs="CESI黑体-GB2312"/>
          <w:kern w:val="2"/>
          <w:sz w:val="36"/>
          <w:szCs w:val="36"/>
          <w:lang w:val="en-US" w:eastAsia="zh-CN" w:bidi="ar-SA"/>
        </w:rPr>
        <w:t>加强规划实施保障 开创金融高质量发展新局面</w:t>
      </w:r>
      <w:bookmarkEnd w:id="72"/>
    </w:p>
    <w:p>
      <w:pPr>
        <w:pStyle w:val="5"/>
        <w:numPr>
          <w:ilvl w:val="0"/>
          <w:numId w:val="0"/>
        </w:numPr>
        <w:ind w:leftChars="200"/>
        <w:rPr>
          <w:rFonts w:hint="eastAsia"/>
        </w:rPr>
      </w:pPr>
    </w:p>
    <w:p>
      <w:pPr>
        <w:pageBreakBefore w:val="0"/>
        <w:widowControl w:val="0"/>
        <w:numPr>
          <w:ilvl w:val="0"/>
          <w:numId w:val="8"/>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napToGrid w:val="0"/>
          <w:kern w:val="0"/>
          <w:sz w:val="32"/>
          <w:szCs w:val="32"/>
          <w:lang w:val="en-US" w:eastAsia="zh-CN" w:bidi="ar-SA"/>
        </w:rPr>
      </w:pPr>
      <w:bookmarkStart w:id="73" w:name="_Toc1867030878_WPSOffice_Level2"/>
      <w:r>
        <w:rPr>
          <w:rFonts w:hint="eastAsia" w:ascii="黑体" w:hAnsi="黑体" w:eastAsia="黑体" w:cs="黑体"/>
          <w:b w:val="0"/>
          <w:bCs w:val="0"/>
          <w:snapToGrid w:val="0"/>
          <w:kern w:val="0"/>
          <w:sz w:val="32"/>
          <w:szCs w:val="32"/>
          <w:lang w:val="en-US" w:eastAsia="zh-CN" w:bidi="ar-SA"/>
        </w:rPr>
        <w:t>加强党对金融工作的领导</w:t>
      </w:r>
      <w:bookmarkEnd w:id="73"/>
    </w:p>
    <w:p>
      <w:pPr>
        <w:pStyle w:val="5"/>
        <w:numPr>
          <w:ilvl w:val="0"/>
          <w:numId w:val="0"/>
        </w:numPr>
        <w:rPr>
          <w:rFonts w:hint="eastAsia"/>
          <w:lang w:val="en-US" w:eastAsia="zh-CN"/>
        </w:rPr>
      </w:pP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贯彻党把方向、谋大局、定政策、促改革的要求，把党的领导贯穿落实到规划实施的各领域和全过程，确保国家、省、市金融决策部署高效落地。推动党建和金融业务相互融合促进，切实发挥好基层党组织战斗堡垒和党员先锋模范作用，扎实服务企业、服务群众。将党的领导融入金融机构治理各环节，推进地方金融机构全面从严治党向纵深、向基层延伸。</w:t>
      </w:r>
    </w:p>
    <w:p>
      <w:pPr>
        <w:pStyle w:val="5"/>
        <w:rPr>
          <w:rFonts w:hint="eastAsia"/>
          <w:lang w:val="en-US" w:eastAsia="zh-CN"/>
        </w:rPr>
      </w:pPr>
    </w:p>
    <w:p>
      <w:pPr>
        <w:keepNext/>
        <w:keepLines/>
        <w:pageBreakBefore w:val="0"/>
        <w:widowControl w:val="0"/>
        <w:numPr>
          <w:ilvl w:val="0"/>
          <w:numId w:val="8"/>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74" w:name="_Toc1801910826_WPSOffice_Level2"/>
      <w:r>
        <w:rPr>
          <w:rFonts w:hint="eastAsia" w:ascii="黑体" w:hAnsi="黑体" w:eastAsia="黑体" w:cs="黑体"/>
          <w:b w:val="0"/>
          <w:bCs w:val="0"/>
          <w:snapToGrid w:val="0"/>
          <w:kern w:val="0"/>
          <w:sz w:val="32"/>
          <w:szCs w:val="32"/>
          <w:lang w:val="en-US" w:eastAsia="zh-CN" w:bidi="ar-SA"/>
        </w:rPr>
        <w:t>完善纵横结合的协调机制</w:t>
      </w:r>
      <w:bookmarkEnd w:id="74"/>
    </w:p>
    <w:p>
      <w:pPr>
        <w:pStyle w:val="5"/>
        <w:numPr>
          <w:ilvl w:val="0"/>
          <w:numId w:val="0"/>
        </w:numPr>
        <w:ind w:leftChars="0"/>
        <w:rPr>
          <w:rFonts w:hint="eastAsia"/>
          <w:lang w:val="en-US" w:eastAsia="zh-C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强化金融政策与产业政策协同联动，加强中央和地方监管部门之间、金融部门与行业部门之间的数据传递、交换、整合和共享，健全高效有力的协调沟通和工作落实机制，放大集成效应效能。强化金融政策与财政政策协同联动，采取适当激励措施，疏通政策传导机制，引导和撬动金融资源流向经济社会发展重点领域和薄弱环节。</w:t>
      </w:r>
    </w:p>
    <w:p>
      <w:pPr>
        <w:pStyle w:val="5"/>
        <w:rPr>
          <w:rFonts w:hint="eastAsia"/>
          <w:lang w:val="en-US" w:eastAsia="zh-CN"/>
        </w:rPr>
      </w:pPr>
    </w:p>
    <w:p>
      <w:pPr>
        <w:keepNext w:val="0"/>
        <w:keepLines w:val="0"/>
        <w:pageBreakBefore w:val="0"/>
        <w:widowControl w:val="0"/>
        <w:numPr>
          <w:ilvl w:val="0"/>
          <w:numId w:val="8"/>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75" w:name="_Toc1784856696_WPSOffice_Level2"/>
      <w:r>
        <w:rPr>
          <w:rFonts w:hint="eastAsia" w:ascii="黑体" w:hAnsi="黑体" w:eastAsia="黑体" w:cs="黑体"/>
          <w:b w:val="0"/>
          <w:bCs w:val="0"/>
          <w:snapToGrid w:val="0"/>
          <w:kern w:val="0"/>
          <w:sz w:val="32"/>
          <w:szCs w:val="32"/>
          <w:lang w:val="en-US" w:eastAsia="zh-CN" w:bidi="ar-SA"/>
        </w:rPr>
        <w:t>筑牢金融人才保障基础</w:t>
      </w:r>
      <w:bookmarkEnd w:id="75"/>
    </w:p>
    <w:p>
      <w:pPr>
        <w:pStyle w:val="5"/>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健全地方金融监管体系，充实监管队伍，开展系统化专业培训，打造高素质金融监管队伍。加强金融多层次人才队伍建设，完善涵盖金融高端人才、创新型人才、专业技能型人才的人才引育留用机制。制定金融人才培养计划，建立金融产学研之间良性互动机制，提升金融竞争软实力。实施新时代干部队伍金融专业能力提升工程，通过多元化的培训培育方式，着力增强广大党员干部金融知识素养。</w:t>
      </w:r>
    </w:p>
    <w:p>
      <w:pPr>
        <w:pStyle w:val="5"/>
        <w:rPr>
          <w:rFonts w:hint="eastAsia"/>
          <w:lang w:val="en-US" w:eastAsia="zh-CN"/>
        </w:rPr>
      </w:pPr>
    </w:p>
    <w:p>
      <w:pPr>
        <w:keepNext/>
        <w:keepLines/>
        <w:pageBreakBefore w:val="0"/>
        <w:widowControl w:val="0"/>
        <w:numPr>
          <w:ilvl w:val="0"/>
          <w:numId w:val="8"/>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76" w:name="_Toc2118353846_WPSOffice_Level2"/>
      <w:r>
        <w:rPr>
          <w:rFonts w:hint="eastAsia" w:ascii="黑体" w:hAnsi="黑体" w:eastAsia="黑体" w:cs="黑体"/>
          <w:b w:val="0"/>
          <w:bCs w:val="0"/>
          <w:snapToGrid w:val="0"/>
          <w:kern w:val="0"/>
          <w:sz w:val="32"/>
          <w:szCs w:val="32"/>
          <w:lang w:val="en-US" w:eastAsia="zh-CN" w:bidi="ar-SA"/>
        </w:rPr>
        <w:t>完善规划实施机制</w:t>
      </w:r>
      <w:bookmarkEnd w:id="76"/>
    </w:p>
    <w:p>
      <w:pPr>
        <w:pStyle w:val="5"/>
        <w:numPr>
          <w:ilvl w:val="0"/>
          <w:numId w:val="0"/>
        </w:numPr>
        <w:ind w:leftChars="0"/>
        <w:rPr>
          <w:rFonts w:hint="eastAsia"/>
          <w:lang w:val="en-US" w:eastAsia="zh-C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加强金融年度计划与金融规划的衔接，开展对培训指标和政策措施的跟踪督导，做好对规划的阶段性评估，及时解决规划执行中出现的问题，合理调整规划目标任务和重点工程。将规划实施情况作为政务公开重要内容，及时公布实施进展，主动接受监督。</w:t>
      </w:r>
    </w:p>
    <w:p>
      <w:pPr>
        <w:widowControl/>
        <w:spacing w:line="360" w:lineRule="auto"/>
        <w:jc w:val="left"/>
        <w:rPr>
          <w:rFonts w:ascii="仿宋" w:hAnsi="仿宋" w:eastAsia="仿宋"/>
          <w:sz w:val="28"/>
          <w:szCs w:val="28"/>
        </w:rPr>
      </w:pPr>
    </w:p>
    <w:sectPr>
      <w:footerReference r:id="rId9" w:type="default"/>
      <w:pgSz w:w="11900" w:h="16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SimSun-ExtB">
    <w:altName w:val="华文仿宋"/>
    <w:panose1 w:val="02010609060101010101"/>
    <w:charset w:val="86"/>
    <w:family w:val="modern"/>
    <w:pitch w:val="default"/>
    <w:sig w:usb0="00000000" w:usb1="00000000" w:usb2="00000010" w:usb3="00000000" w:csb0="00040001" w:csb1="00000000"/>
  </w:font>
  <w:font w:name="等线 Light">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Helvetica">
    <w:altName w:val="Liberation Sans"/>
    <w:panose1 w:val="020B0604020202020204"/>
    <w:charset w:val="00"/>
    <w:family w:val="auto"/>
    <w:pitch w:val="default"/>
    <w:sig w:usb0="00000000" w:usb1="00000000" w:usb2="00000000" w:usb3="00000000" w:csb0="0000019F"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Arial Black">
    <w:panose1 w:val="020B0A04020102020204"/>
    <w:charset w:val="00"/>
    <w:family w:val="auto"/>
    <w:pitch w:val="default"/>
    <w:sig w:usb0="00000287" w:usb1="00000000" w:usb2="00000000" w:usb3="00000000" w:csb0="2000009F" w:csb1="DFD7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Liberation Sans">
    <w:panose1 w:val="020B0604020202020204"/>
    <w:charset w:val="00"/>
    <w:family w:val="auto"/>
    <w:pitch w:val="default"/>
    <w:sig w:usb0="A00002AF" w:usb1="500078FB" w:usb2="00000000" w:usb3="00000000" w:csb0="6000009F" w:csb1="DFD70000"/>
  </w:font>
  <w:font w:name="等线 Light">
    <w:altName w:val="URW Book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sdt>
      <w:sdtPr>
        <w:id w:val="-1892497571"/>
      </w:sdtPr>
      <w:sdtContent/>
    </w:sdt>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3"/>
      </w:rPr>
      <w:id w:val="-2052062489"/>
    </w:sdtPr>
    <w:sdtEndPr>
      <w:rPr>
        <w:rStyle w:val="23"/>
      </w:rPr>
    </w:sdtEndPr>
    <w:sdtContent>
      <w:p>
        <w:pPr>
          <w:pStyle w:val="13"/>
          <w:framePr w:wrap="auto" w:vAnchor="text" w:hAnchor="margin" w:xAlign="center" w:y="1"/>
          <w:rPr>
            <w:rStyle w:val="23"/>
          </w:rPr>
        </w:pPr>
        <w:r>
          <w:rPr>
            <w:rStyle w:val="23"/>
          </w:rPr>
          <w:fldChar w:fldCharType="begin"/>
        </w:r>
        <w:r>
          <w:rPr>
            <w:rStyle w:val="23"/>
          </w:rPr>
          <w:instrText xml:space="preserve"> PAGE </w:instrText>
        </w:r>
        <w:r>
          <w:rPr>
            <w:rStyle w:val="23"/>
          </w:rP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sdt>
      <w:sdtPr>
        <w:id w:val="-1040664634"/>
      </w:sdt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13"/>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p>
                </w:txbxContent>
              </v:textbox>
            </v:shape>
          </w:pict>
        </mc:Fallback>
      </mc:AlternateContent>
    </w:r>
    <w:sdt>
      <w:sdtPr>
        <w:id w:val="-1931259418"/>
      </w:sdt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E334F"/>
    <w:multiLevelType w:val="singleLevel"/>
    <w:tmpl w:val="BBBE334F"/>
    <w:lvl w:ilvl="0" w:tentative="0">
      <w:start w:val="1"/>
      <w:numFmt w:val="chineseCounting"/>
      <w:suff w:val="space"/>
      <w:lvlText w:val="第%1部分"/>
      <w:lvlJc w:val="left"/>
      <w:pPr>
        <w:ind w:left="720" w:leftChars="0" w:firstLine="0" w:firstLineChars="0"/>
      </w:pPr>
      <w:rPr>
        <w:rFonts w:hint="eastAsia"/>
      </w:rPr>
    </w:lvl>
  </w:abstractNum>
  <w:abstractNum w:abstractNumId="1">
    <w:nsid w:val="BCEBF96A"/>
    <w:multiLevelType w:val="singleLevel"/>
    <w:tmpl w:val="BCEBF96A"/>
    <w:lvl w:ilvl="0" w:tentative="0">
      <w:start w:val="1"/>
      <w:numFmt w:val="chineseCounting"/>
      <w:suff w:val="space"/>
      <w:lvlText w:val="第%1节"/>
      <w:lvlJc w:val="left"/>
      <w:rPr>
        <w:rFonts w:hint="eastAsia"/>
      </w:rPr>
    </w:lvl>
  </w:abstractNum>
  <w:abstractNum w:abstractNumId="2">
    <w:nsid w:val="D7F79DCB"/>
    <w:multiLevelType w:val="singleLevel"/>
    <w:tmpl w:val="D7F79DCB"/>
    <w:lvl w:ilvl="0" w:tentative="0">
      <w:start w:val="1"/>
      <w:numFmt w:val="chineseCounting"/>
      <w:suff w:val="space"/>
      <w:lvlText w:val="第%1节"/>
      <w:lvlJc w:val="left"/>
      <w:rPr>
        <w:rFonts w:hint="eastAsia"/>
      </w:rPr>
    </w:lvl>
  </w:abstractNum>
  <w:abstractNum w:abstractNumId="3">
    <w:nsid w:val="F7BD60AD"/>
    <w:multiLevelType w:val="singleLevel"/>
    <w:tmpl w:val="F7BD60AD"/>
    <w:lvl w:ilvl="0" w:tentative="0">
      <w:start w:val="1"/>
      <w:numFmt w:val="chineseCounting"/>
      <w:suff w:val="space"/>
      <w:lvlText w:val="第%1节"/>
      <w:lvlJc w:val="left"/>
      <w:rPr>
        <w:rFonts w:hint="eastAsia"/>
      </w:rPr>
    </w:lvl>
  </w:abstractNum>
  <w:abstractNum w:abstractNumId="4">
    <w:nsid w:val="FDDE0B36"/>
    <w:multiLevelType w:val="singleLevel"/>
    <w:tmpl w:val="FDDE0B36"/>
    <w:lvl w:ilvl="0" w:tentative="0">
      <w:start w:val="1"/>
      <w:numFmt w:val="chineseCounting"/>
      <w:suff w:val="space"/>
      <w:lvlText w:val="第%1节"/>
      <w:lvlJc w:val="left"/>
      <w:rPr>
        <w:rFonts w:hint="eastAsia"/>
      </w:rPr>
    </w:lvl>
  </w:abstractNum>
  <w:abstractNum w:abstractNumId="5">
    <w:nsid w:val="4EFD6E6F"/>
    <w:multiLevelType w:val="singleLevel"/>
    <w:tmpl w:val="4EFD6E6F"/>
    <w:lvl w:ilvl="0" w:tentative="0">
      <w:start w:val="1"/>
      <w:numFmt w:val="chineseCounting"/>
      <w:suff w:val="space"/>
      <w:lvlText w:val="第%1节"/>
      <w:lvlJc w:val="left"/>
      <w:rPr>
        <w:rFonts w:hint="eastAsia"/>
      </w:rPr>
    </w:lvl>
  </w:abstractNum>
  <w:abstractNum w:abstractNumId="6">
    <w:nsid w:val="6BF7CE59"/>
    <w:multiLevelType w:val="singleLevel"/>
    <w:tmpl w:val="6BF7CE59"/>
    <w:lvl w:ilvl="0" w:tentative="0">
      <w:start w:val="1"/>
      <w:numFmt w:val="chineseCounting"/>
      <w:suff w:val="space"/>
      <w:lvlText w:val="第%1节"/>
      <w:lvlJc w:val="left"/>
      <w:rPr>
        <w:rFonts w:hint="eastAsia"/>
      </w:rPr>
    </w:lvl>
  </w:abstractNum>
  <w:abstractNum w:abstractNumId="7">
    <w:nsid w:val="735AB904"/>
    <w:multiLevelType w:val="singleLevel"/>
    <w:tmpl w:val="735AB904"/>
    <w:lvl w:ilvl="0" w:tentative="0">
      <w:start w:val="5"/>
      <w:numFmt w:val="chineseCounting"/>
      <w:suff w:val="space"/>
      <w:lvlText w:val="第%1部分"/>
      <w:lvlJc w:val="left"/>
      <w:rPr>
        <w:rFonts w:hint="eastAsia"/>
      </w:r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58"/>
    <w:rsid w:val="00003ED4"/>
    <w:rsid w:val="00007397"/>
    <w:rsid w:val="00012BCB"/>
    <w:rsid w:val="00016FFE"/>
    <w:rsid w:val="000203EC"/>
    <w:rsid w:val="0002413A"/>
    <w:rsid w:val="0004174C"/>
    <w:rsid w:val="000533DC"/>
    <w:rsid w:val="00053FF2"/>
    <w:rsid w:val="000576FA"/>
    <w:rsid w:val="00061353"/>
    <w:rsid w:val="000631AB"/>
    <w:rsid w:val="00063689"/>
    <w:rsid w:val="00070868"/>
    <w:rsid w:val="000715E8"/>
    <w:rsid w:val="0007671E"/>
    <w:rsid w:val="00080E31"/>
    <w:rsid w:val="00081A80"/>
    <w:rsid w:val="00083CA6"/>
    <w:rsid w:val="000862F2"/>
    <w:rsid w:val="00086F51"/>
    <w:rsid w:val="0009107A"/>
    <w:rsid w:val="00092628"/>
    <w:rsid w:val="000A17FC"/>
    <w:rsid w:val="000A2A00"/>
    <w:rsid w:val="000A7ACB"/>
    <w:rsid w:val="000B2975"/>
    <w:rsid w:val="000B3C66"/>
    <w:rsid w:val="000D015B"/>
    <w:rsid w:val="000D360B"/>
    <w:rsid w:val="000E29CC"/>
    <w:rsid w:val="000E2C4B"/>
    <w:rsid w:val="000E7F58"/>
    <w:rsid w:val="000F295D"/>
    <w:rsid w:val="00100D3D"/>
    <w:rsid w:val="00111E21"/>
    <w:rsid w:val="0012024F"/>
    <w:rsid w:val="00121667"/>
    <w:rsid w:val="00123D5B"/>
    <w:rsid w:val="00123F97"/>
    <w:rsid w:val="001255DF"/>
    <w:rsid w:val="00133C73"/>
    <w:rsid w:val="001368F3"/>
    <w:rsid w:val="001373D8"/>
    <w:rsid w:val="00141523"/>
    <w:rsid w:val="001422AD"/>
    <w:rsid w:val="0014588C"/>
    <w:rsid w:val="001508D2"/>
    <w:rsid w:val="001574C4"/>
    <w:rsid w:val="00160C5A"/>
    <w:rsid w:val="00164C0A"/>
    <w:rsid w:val="001668A6"/>
    <w:rsid w:val="00170E35"/>
    <w:rsid w:val="0017206C"/>
    <w:rsid w:val="00172AB5"/>
    <w:rsid w:val="0017390C"/>
    <w:rsid w:val="00177470"/>
    <w:rsid w:val="00181582"/>
    <w:rsid w:val="00184910"/>
    <w:rsid w:val="00185A74"/>
    <w:rsid w:val="001950A7"/>
    <w:rsid w:val="00197244"/>
    <w:rsid w:val="001A14BB"/>
    <w:rsid w:val="001A15EA"/>
    <w:rsid w:val="001A6504"/>
    <w:rsid w:val="001B0148"/>
    <w:rsid w:val="001C2C5D"/>
    <w:rsid w:val="001C790D"/>
    <w:rsid w:val="001D06A1"/>
    <w:rsid w:val="001D09F6"/>
    <w:rsid w:val="001E40FC"/>
    <w:rsid w:val="001F5E66"/>
    <w:rsid w:val="001F6F3A"/>
    <w:rsid w:val="001F7040"/>
    <w:rsid w:val="002041DB"/>
    <w:rsid w:val="00212237"/>
    <w:rsid w:val="00212983"/>
    <w:rsid w:val="00216728"/>
    <w:rsid w:val="00222794"/>
    <w:rsid w:val="002230FE"/>
    <w:rsid w:val="002232E9"/>
    <w:rsid w:val="00225981"/>
    <w:rsid w:val="00230AFD"/>
    <w:rsid w:val="00242572"/>
    <w:rsid w:val="00244738"/>
    <w:rsid w:val="00244EFB"/>
    <w:rsid w:val="00250625"/>
    <w:rsid w:val="00253EDB"/>
    <w:rsid w:val="0025703A"/>
    <w:rsid w:val="00257555"/>
    <w:rsid w:val="00260E40"/>
    <w:rsid w:val="00262A83"/>
    <w:rsid w:val="00264ADF"/>
    <w:rsid w:val="002678C6"/>
    <w:rsid w:val="002705C3"/>
    <w:rsid w:val="002709EE"/>
    <w:rsid w:val="00273D2E"/>
    <w:rsid w:val="00274582"/>
    <w:rsid w:val="0028058A"/>
    <w:rsid w:val="00284AF3"/>
    <w:rsid w:val="00290CFD"/>
    <w:rsid w:val="00292219"/>
    <w:rsid w:val="00296A1E"/>
    <w:rsid w:val="002A2D81"/>
    <w:rsid w:val="002A43BA"/>
    <w:rsid w:val="002A66E8"/>
    <w:rsid w:val="002B5DB4"/>
    <w:rsid w:val="002B7DEA"/>
    <w:rsid w:val="002C0F1B"/>
    <w:rsid w:val="002C6114"/>
    <w:rsid w:val="002D3DF1"/>
    <w:rsid w:val="002D4D1D"/>
    <w:rsid w:val="002E09E9"/>
    <w:rsid w:val="002E0F00"/>
    <w:rsid w:val="002E3C7E"/>
    <w:rsid w:val="002E700F"/>
    <w:rsid w:val="002E7C94"/>
    <w:rsid w:val="002F00C0"/>
    <w:rsid w:val="002F2467"/>
    <w:rsid w:val="002F3214"/>
    <w:rsid w:val="002F6448"/>
    <w:rsid w:val="00304CB2"/>
    <w:rsid w:val="00310892"/>
    <w:rsid w:val="00324DBF"/>
    <w:rsid w:val="003338E2"/>
    <w:rsid w:val="00336396"/>
    <w:rsid w:val="00336CAC"/>
    <w:rsid w:val="00343793"/>
    <w:rsid w:val="003534AE"/>
    <w:rsid w:val="00356683"/>
    <w:rsid w:val="003630B5"/>
    <w:rsid w:val="003654AC"/>
    <w:rsid w:val="00370316"/>
    <w:rsid w:val="003711A1"/>
    <w:rsid w:val="00377EC9"/>
    <w:rsid w:val="003803AC"/>
    <w:rsid w:val="00380509"/>
    <w:rsid w:val="00380FA7"/>
    <w:rsid w:val="00383166"/>
    <w:rsid w:val="00392614"/>
    <w:rsid w:val="003940AF"/>
    <w:rsid w:val="003943CD"/>
    <w:rsid w:val="0039677C"/>
    <w:rsid w:val="003A36D7"/>
    <w:rsid w:val="003A6709"/>
    <w:rsid w:val="003B0DC5"/>
    <w:rsid w:val="003B2A3A"/>
    <w:rsid w:val="003C10C4"/>
    <w:rsid w:val="003C17CD"/>
    <w:rsid w:val="003C4055"/>
    <w:rsid w:val="003C6647"/>
    <w:rsid w:val="003D2B17"/>
    <w:rsid w:val="003D4196"/>
    <w:rsid w:val="003D4A68"/>
    <w:rsid w:val="003D5F44"/>
    <w:rsid w:val="003D60C4"/>
    <w:rsid w:val="003E44F4"/>
    <w:rsid w:val="003E5AC7"/>
    <w:rsid w:val="003E628C"/>
    <w:rsid w:val="003E6CF5"/>
    <w:rsid w:val="003F1DFF"/>
    <w:rsid w:val="003F2661"/>
    <w:rsid w:val="003F38A0"/>
    <w:rsid w:val="00400414"/>
    <w:rsid w:val="00402FDB"/>
    <w:rsid w:val="0040306E"/>
    <w:rsid w:val="00404D65"/>
    <w:rsid w:val="00406C6F"/>
    <w:rsid w:val="00411EB3"/>
    <w:rsid w:val="00415D04"/>
    <w:rsid w:val="004162F3"/>
    <w:rsid w:val="00426D77"/>
    <w:rsid w:val="00432302"/>
    <w:rsid w:val="00433A48"/>
    <w:rsid w:val="00434694"/>
    <w:rsid w:val="00451BA6"/>
    <w:rsid w:val="00463453"/>
    <w:rsid w:val="0046519A"/>
    <w:rsid w:val="00480B4F"/>
    <w:rsid w:val="0048262D"/>
    <w:rsid w:val="004838CC"/>
    <w:rsid w:val="00483DA8"/>
    <w:rsid w:val="00487A0B"/>
    <w:rsid w:val="0049015D"/>
    <w:rsid w:val="004951F4"/>
    <w:rsid w:val="00495733"/>
    <w:rsid w:val="00497619"/>
    <w:rsid w:val="004B0BAE"/>
    <w:rsid w:val="004B3A26"/>
    <w:rsid w:val="004B3C85"/>
    <w:rsid w:val="004B6669"/>
    <w:rsid w:val="004B7BEC"/>
    <w:rsid w:val="004C2E75"/>
    <w:rsid w:val="004D0430"/>
    <w:rsid w:val="004D1F2C"/>
    <w:rsid w:val="004F3824"/>
    <w:rsid w:val="004F4B22"/>
    <w:rsid w:val="00504D4D"/>
    <w:rsid w:val="00504F94"/>
    <w:rsid w:val="00510E96"/>
    <w:rsid w:val="005119E9"/>
    <w:rsid w:val="0051387C"/>
    <w:rsid w:val="00516BD8"/>
    <w:rsid w:val="00523E5A"/>
    <w:rsid w:val="00524927"/>
    <w:rsid w:val="005255F6"/>
    <w:rsid w:val="00525DB8"/>
    <w:rsid w:val="00533E79"/>
    <w:rsid w:val="00537A4A"/>
    <w:rsid w:val="00546431"/>
    <w:rsid w:val="0054673D"/>
    <w:rsid w:val="005469BE"/>
    <w:rsid w:val="00550B2B"/>
    <w:rsid w:val="005540FA"/>
    <w:rsid w:val="00554170"/>
    <w:rsid w:val="00554CE4"/>
    <w:rsid w:val="00555FF5"/>
    <w:rsid w:val="00556FDE"/>
    <w:rsid w:val="00557B40"/>
    <w:rsid w:val="00566BB7"/>
    <w:rsid w:val="005670E0"/>
    <w:rsid w:val="00572B85"/>
    <w:rsid w:val="00573539"/>
    <w:rsid w:val="005775B9"/>
    <w:rsid w:val="0058113C"/>
    <w:rsid w:val="00581D0D"/>
    <w:rsid w:val="00583BC5"/>
    <w:rsid w:val="005954AE"/>
    <w:rsid w:val="00597909"/>
    <w:rsid w:val="005A081A"/>
    <w:rsid w:val="005A7967"/>
    <w:rsid w:val="005B50C4"/>
    <w:rsid w:val="005C3E0C"/>
    <w:rsid w:val="005C5A05"/>
    <w:rsid w:val="005C64E4"/>
    <w:rsid w:val="005D0581"/>
    <w:rsid w:val="005D153F"/>
    <w:rsid w:val="005D1CBC"/>
    <w:rsid w:val="005D7633"/>
    <w:rsid w:val="005D7883"/>
    <w:rsid w:val="005F1850"/>
    <w:rsid w:val="005F46A9"/>
    <w:rsid w:val="005F74C0"/>
    <w:rsid w:val="005F7B5F"/>
    <w:rsid w:val="006037C0"/>
    <w:rsid w:val="0061284D"/>
    <w:rsid w:val="006178A4"/>
    <w:rsid w:val="00624C0D"/>
    <w:rsid w:val="006255B2"/>
    <w:rsid w:val="006303AC"/>
    <w:rsid w:val="0063202A"/>
    <w:rsid w:val="006443A2"/>
    <w:rsid w:val="0064530C"/>
    <w:rsid w:val="00647E24"/>
    <w:rsid w:val="00650C4E"/>
    <w:rsid w:val="006571FB"/>
    <w:rsid w:val="006573D3"/>
    <w:rsid w:val="0066112D"/>
    <w:rsid w:val="00661BE7"/>
    <w:rsid w:val="00662031"/>
    <w:rsid w:val="0066300A"/>
    <w:rsid w:val="00664474"/>
    <w:rsid w:val="00673CAF"/>
    <w:rsid w:val="006746F6"/>
    <w:rsid w:val="006812CA"/>
    <w:rsid w:val="00683665"/>
    <w:rsid w:val="00691E99"/>
    <w:rsid w:val="006972C5"/>
    <w:rsid w:val="006C24AD"/>
    <w:rsid w:val="006C2ADF"/>
    <w:rsid w:val="006C4210"/>
    <w:rsid w:val="006C4A4D"/>
    <w:rsid w:val="006C550F"/>
    <w:rsid w:val="006D0840"/>
    <w:rsid w:val="006D3B1D"/>
    <w:rsid w:val="006E2BD3"/>
    <w:rsid w:val="006E45BA"/>
    <w:rsid w:val="006E5D29"/>
    <w:rsid w:val="006F0BB8"/>
    <w:rsid w:val="006F2838"/>
    <w:rsid w:val="006F43B1"/>
    <w:rsid w:val="006F72E6"/>
    <w:rsid w:val="0070658E"/>
    <w:rsid w:val="0071025F"/>
    <w:rsid w:val="00712784"/>
    <w:rsid w:val="00712E22"/>
    <w:rsid w:val="007146FA"/>
    <w:rsid w:val="00725574"/>
    <w:rsid w:val="00733548"/>
    <w:rsid w:val="00743980"/>
    <w:rsid w:val="00750251"/>
    <w:rsid w:val="007506F1"/>
    <w:rsid w:val="00756DD8"/>
    <w:rsid w:val="00757C04"/>
    <w:rsid w:val="007638F7"/>
    <w:rsid w:val="00767785"/>
    <w:rsid w:val="00771FCF"/>
    <w:rsid w:val="0078159D"/>
    <w:rsid w:val="00784982"/>
    <w:rsid w:val="00786D38"/>
    <w:rsid w:val="00792BF1"/>
    <w:rsid w:val="007A164A"/>
    <w:rsid w:val="007A2D55"/>
    <w:rsid w:val="007B088E"/>
    <w:rsid w:val="007B3ACC"/>
    <w:rsid w:val="007C2297"/>
    <w:rsid w:val="007C5E9D"/>
    <w:rsid w:val="007D15F0"/>
    <w:rsid w:val="007F7542"/>
    <w:rsid w:val="00800A48"/>
    <w:rsid w:val="00804A90"/>
    <w:rsid w:val="00811AF3"/>
    <w:rsid w:val="008142AB"/>
    <w:rsid w:val="0082293B"/>
    <w:rsid w:val="008241BC"/>
    <w:rsid w:val="00824F5A"/>
    <w:rsid w:val="008307BE"/>
    <w:rsid w:val="00831A8C"/>
    <w:rsid w:val="0083719D"/>
    <w:rsid w:val="00847B89"/>
    <w:rsid w:val="00851332"/>
    <w:rsid w:val="00851C2E"/>
    <w:rsid w:val="00851C40"/>
    <w:rsid w:val="008534D6"/>
    <w:rsid w:val="00853887"/>
    <w:rsid w:val="00857D6E"/>
    <w:rsid w:val="008643A4"/>
    <w:rsid w:val="00875AEB"/>
    <w:rsid w:val="008762A0"/>
    <w:rsid w:val="0088298B"/>
    <w:rsid w:val="00884D24"/>
    <w:rsid w:val="00892D10"/>
    <w:rsid w:val="00896068"/>
    <w:rsid w:val="008B1B89"/>
    <w:rsid w:val="008B7132"/>
    <w:rsid w:val="008C03A8"/>
    <w:rsid w:val="008C362C"/>
    <w:rsid w:val="008C4B95"/>
    <w:rsid w:val="008C78A5"/>
    <w:rsid w:val="008E567F"/>
    <w:rsid w:val="008E7AC1"/>
    <w:rsid w:val="008E7DA6"/>
    <w:rsid w:val="00903B64"/>
    <w:rsid w:val="009051CF"/>
    <w:rsid w:val="00906C91"/>
    <w:rsid w:val="00910843"/>
    <w:rsid w:val="00911F9D"/>
    <w:rsid w:val="00915120"/>
    <w:rsid w:val="00926004"/>
    <w:rsid w:val="00926743"/>
    <w:rsid w:val="00943716"/>
    <w:rsid w:val="00944CE1"/>
    <w:rsid w:val="00950481"/>
    <w:rsid w:val="009531F7"/>
    <w:rsid w:val="009535AE"/>
    <w:rsid w:val="0096489C"/>
    <w:rsid w:val="00970724"/>
    <w:rsid w:val="00973E83"/>
    <w:rsid w:val="00977612"/>
    <w:rsid w:val="00986319"/>
    <w:rsid w:val="00991D42"/>
    <w:rsid w:val="009933A6"/>
    <w:rsid w:val="00993B99"/>
    <w:rsid w:val="009A00CC"/>
    <w:rsid w:val="009B0666"/>
    <w:rsid w:val="009B1BD2"/>
    <w:rsid w:val="009B6CBE"/>
    <w:rsid w:val="009C0786"/>
    <w:rsid w:val="009C3E38"/>
    <w:rsid w:val="009C74E1"/>
    <w:rsid w:val="009D0F1C"/>
    <w:rsid w:val="009E044D"/>
    <w:rsid w:val="009E0B13"/>
    <w:rsid w:val="009E2E63"/>
    <w:rsid w:val="009E2F0E"/>
    <w:rsid w:val="009E3C7B"/>
    <w:rsid w:val="009F13D8"/>
    <w:rsid w:val="009F5121"/>
    <w:rsid w:val="00A01464"/>
    <w:rsid w:val="00A0329D"/>
    <w:rsid w:val="00A04462"/>
    <w:rsid w:val="00A149F9"/>
    <w:rsid w:val="00A2188F"/>
    <w:rsid w:val="00A30474"/>
    <w:rsid w:val="00A41545"/>
    <w:rsid w:val="00A427CE"/>
    <w:rsid w:val="00A429B4"/>
    <w:rsid w:val="00A42C34"/>
    <w:rsid w:val="00A524BE"/>
    <w:rsid w:val="00A54116"/>
    <w:rsid w:val="00A55C50"/>
    <w:rsid w:val="00A57E65"/>
    <w:rsid w:val="00A62DBC"/>
    <w:rsid w:val="00A673B0"/>
    <w:rsid w:val="00A713FC"/>
    <w:rsid w:val="00A73771"/>
    <w:rsid w:val="00A778B3"/>
    <w:rsid w:val="00A90EB7"/>
    <w:rsid w:val="00A91190"/>
    <w:rsid w:val="00A91930"/>
    <w:rsid w:val="00AB3995"/>
    <w:rsid w:val="00AB581E"/>
    <w:rsid w:val="00AB5D81"/>
    <w:rsid w:val="00AB7B29"/>
    <w:rsid w:val="00AB7E1E"/>
    <w:rsid w:val="00AC06F1"/>
    <w:rsid w:val="00AC3E27"/>
    <w:rsid w:val="00AD60C5"/>
    <w:rsid w:val="00AE1AF9"/>
    <w:rsid w:val="00AE26AF"/>
    <w:rsid w:val="00AE3B33"/>
    <w:rsid w:val="00AE3C45"/>
    <w:rsid w:val="00AF0DEE"/>
    <w:rsid w:val="00AF49AD"/>
    <w:rsid w:val="00AF60AC"/>
    <w:rsid w:val="00B018B9"/>
    <w:rsid w:val="00B0417A"/>
    <w:rsid w:val="00B0798A"/>
    <w:rsid w:val="00B10653"/>
    <w:rsid w:val="00B11118"/>
    <w:rsid w:val="00B1117A"/>
    <w:rsid w:val="00B12228"/>
    <w:rsid w:val="00B16A67"/>
    <w:rsid w:val="00B2669B"/>
    <w:rsid w:val="00B317B3"/>
    <w:rsid w:val="00B34D01"/>
    <w:rsid w:val="00B42E0C"/>
    <w:rsid w:val="00B44D0B"/>
    <w:rsid w:val="00B52A32"/>
    <w:rsid w:val="00B54EE2"/>
    <w:rsid w:val="00B55AD9"/>
    <w:rsid w:val="00B56D11"/>
    <w:rsid w:val="00B73476"/>
    <w:rsid w:val="00B743B4"/>
    <w:rsid w:val="00B814D4"/>
    <w:rsid w:val="00B83272"/>
    <w:rsid w:val="00B841BB"/>
    <w:rsid w:val="00B84970"/>
    <w:rsid w:val="00B86AAF"/>
    <w:rsid w:val="00B915DF"/>
    <w:rsid w:val="00B94CDC"/>
    <w:rsid w:val="00B9628C"/>
    <w:rsid w:val="00BA23D2"/>
    <w:rsid w:val="00BA6F9E"/>
    <w:rsid w:val="00BB0CF9"/>
    <w:rsid w:val="00BB3DD8"/>
    <w:rsid w:val="00BB4BBF"/>
    <w:rsid w:val="00BB4BFB"/>
    <w:rsid w:val="00BC0C28"/>
    <w:rsid w:val="00BC161D"/>
    <w:rsid w:val="00BC1678"/>
    <w:rsid w:val="00BC3F35"/>
    <w:rsid w:val="00BD7037"/>
    <w:rsid w:val="00BE3755"/>
    <w:rsid w:val="00BF4BB6"/>
    <w:rsid w:val="00BF64C2"/>
    <w:rsid w:val="00C01691"/>
    <w:rsid w:val="00C1709D"/>
    <w:rsid w:val="00C401C3"/>
    <w:rsid w:val="00C42208"/>
    <w:rsid w:val="00C4502F"/>
    <w:rsid w:val="00C47AB0"/>
    <w:rsid w:val="00C65AA3"/>
    <w:rsid w:val="00C666A8"/>
    <w:rsid w:val="00C666C2"/>
    <w:rsid w:val="00C70CC3"/>
    <w:rsid w:val="00C70E3E"/>
    <w:rsid w:val="00C762BA"/>
    <w:rsid w:val="00C858C7"/>
    <w:rsid w:val="00C86E99"/>
    <w:rsid w:val="00C93F17"/>
    <w:rsid w:val="00C96249"/>
    <w:rsid w:val="00CA02F6"/>
    <w:rsid w:val="00CA22A3"/>
    <w:rsid w:val="00CA5674"/>
    <w:rsid w:val="00CA6595"/>
    <w:rsid w:val="00CA7060"/>
    <w:rsid w:val="00CB1096"/>
    <w:rsid w:val="00CB2661"/>
    <w:rsid w:val="00CB29EC"/>
    <w:rsid w:val="00CB50FE"/>
    <w:rsid w:val="00CB7D22"/>
    <w:rsid w:val="00CC2F19"/>
    <w:rsid w:val="00CD7C43"/>
    <w:rsid w:val="00CE1C5A"/>
    <w:rsid w:val="00CF4610"/>
    <w:rsid w:val="00CF5952"/>
    <w:rsid w:val="00D01A94"/>
    <w:rsid w:val="00D03CE6"/>
    <w:rsid w:val="00D10717"/>
    <w:rsid w:val="00D10A2E"/>
    <w:rsid w:val="00D13C55"/>
    <w:rsid w:val="00D22937"/>
    <w:rsid w:val="00D24CF3"/>
    <w:rsid w:val="00D25BE7"/>
    <w:rsid w:val="00D33597"/>
    <w:rsid w:val="00D4170C"/>
    <w:rsid w:val="00D4274B"/>
    <w:rsid w:val="00D44924"/>
    <w:rsid w:val="00D4558A"/>
    <w:rsid w:val="00D5017E"/>
    <w:rsid w:val="00D50B88"/>
    <w:rsid w:val="00D50FC0"/>
    <w:rsid w:val="00D54069"/>
    <w:rsid w:val="00D54C3E"/>
    <w:rsid w:val="00D61105"/>
    <w:rsid w:val="00D6558A"/>
    <w:rsid w:val="00D70045"/>
    <w:rsid w:val="00D72547"/>
    <w:rsid w:val="00D73DDE"/>
    <w:rsid w:val="00D74A8F"/>
    <w:rsid w:val="00D8327A"/>
    <w:rsid w:val="00D87A06"/>
    <w:rsid w:val="00D92CC8"/>
    <w:rsid w:val="00D93F46"/>
    <w:rsid w:val="00D963D8"/>
    <w:rsid w:val="00DA4858"/>
    <w:rsid w:val="00DA5AC4"/>
    <w:rsid w:val="00DA77BE"/>
    <w:rsid w:val="00DB7B32"/>
    <w:rsid w:val="00DC6FE3"/>
    <w:rsid w:val="00DE2B30"/>
    <w:rsid w:val="00DE33E8"/>
    <w:rsid w:val="00DE40E0"/>
    <w:rsid w:val="00DE520A"/>
    <w:rsid w:val="00DE6B6A"/>
    <w:rsid w:val="00DE7564"/>
    <w:rsid w:val="00DE786D"/>
    <w:rsid w:val="00DE7E56"/>
    <w:rsid w:val="00DF243E"/>
    <w:rsid w:val="00DF3F6A"/>
    <w:rsid w:val="00DF461E"/>
    <w:rsid w:val="00DF4D84"/>
    <w:rsid w:val="00E20C1F"/>
    <w:rsid w:val="00E24D6C"/>
    <w:rsid w:val="00E30686"/>
    <w:rsid w:val="00E320E0"/>
    <w:rsid w:val="00E32FCB"/>
    <w:rsid w:val="00E34951"/>
    <w:rsid w:val="00E36AB5"/>
    <w:rsid w:val="00E448CF"/>
    <w:rsid w:val="00E52FE8"/>
    <w:rsid w:val="00E53300"/>
    <w:rsid w:val="00E56F6C"/>
    <w:rsid w:val="00E643C0"/>
    <w:rsid w:val="00E726AF"/>
    <w:rsid w:val="00E74104"/>
    <w:rsid w:val="00E77744"/>
    <w:rsid w:val="00E81521"/>
    <w:rsid w:val="00E81D5C"/>
    <w:rsid w:val="00E9156E"/>
    <w:rsid w:val="00E92AD8"/>
    <w:rsid w:val="00E95DC5"/>
    <w:rsid w:val="00E975F8"/>
    <w:rsid w:val="00E97804"/>
    <w:rsid w:val="00EA135F"/>
    <w:rsid w:val="00EA26CC"/>
    <w:rsid w:val="00EA4F96"/>
    <w:rsid w:val="00EC41B9"/>
    <w:rsid w:val="00EC723A"/>
    <w:rsid w:val="00ED2825"/>
    <w:rsid w:val="00ED3615"/>
    <w:rsid w:val="00ED50A8"/>
    <w:rsid w:val="00ED6CED"/>
    <w:rsid w:val="00ED7759"/>
    <w:rsid w:val="00EE1E3F"/>
    <w:rsid w:val="00EE1EFD"/>
    <w:rsid w:val="00EE415A"/>
    <w:rsid w:val="00EE4CC8"/>
    <w:rsid w:val="00EE7679"/>
    <w:rsid w:val="00EF1E92"/>
    <w:rsid w:val="00F01D85"/>
    <w:rsid w:val="00F04D84"/>
    <w:rsid w:val="00F055C3"/>
    <w:rsid w:val="00F125DF"/>
    <w:rsid w:val="00F14BA0"/>
    <w:rsid w:val="00F176AE"/>
    <w:rsid w:val="00F1787A"/>
    <w:rsid w:val="00F203AF"/>
    <w:rsid w:val="00F26041"/>
    <w:rsid w:val="00F268A3"/>
    <w:rsid w:val="00F31D24"/>
    <w:rsid w:val="00F3257F"/>
    <w:rsid w:val="00F33245"/>
    <w:rsid w:val="00F354F5"/>
    <w:rsid w:val="00F36A9B"/>
    <w:rsid w:val="00F3755E"/>
    <w:rsid w:val="00F40101"/>
    <w:rsid w:val="00F43BD8"/>
    <w:rsid w:val="00F464A6"/>
    <w:rsid w:val="00F50351"/>
    <w:rsid w:val="00F52502"/>
    <w:rsid w:val="00F558E0"/>
    <w:rsid w:val="00F60240"/>
    <w:rsid w:val="00F61335"/>
    <w:rsid w:val="00F66185"/>
    <w:rsid w:val="00F86342"/>
    <w:rsid w:val="00F90594"/>
    <w:rsid w:val="00F93FBB"/>
    <w:rsid w:val="00F95149"/>
    <w:rsid w:val="00F96B6B"/>
    <w:rsid w:val="00FA22D9"/>
    <w:rsid w:val="00FB2359"/>
    <w:rsid w:val="00FB43D6"/>
    <w:rsid w:val="00FC40F3"/>
    <w:rsid w:val="00FC5F9F"/>
    <w:rsid w:val="00FC604F"/>
    <w:rsid w:val="00FE0698"/>
    <w:rsid w:val="00FE0916"/>
    <w:rsid w:val="00FE20FD"/>
    <w:rsid w:val="00FF4805"/>
    <w:rsid w:val="00FF4B56"/>
    <w:rsid w:val="00FF76B3"/>
    <w:rsid w:val="00FF7FBC"/>
    <w:rsid w:val="079D97E5"/>
    <w:rsid w:val="0EBFD970"/>
    <w:rsid w:val="0EF78DAE"/>
    <w:rsid w:val="13CBEA3C"/>
    <w:rsid w:val="18F74A2F"/>
    <w:rsid w:val="197F68EF"/>
    <w:rsid w:val="1B6071F3"/>
    <w:rsid w:val="1BEFC789"/>
    <w:rsid w:val="1BF3E066"/>
    <w:rsid w:val="1CDD0DD8"/>
    <w:rsid w:val="1D1F7F50"/>
    <w:rsid w:val="1EFF1ABC"/>
    <w:rsid w:val="1F7B9BEB"/>
    <w:rsid w:val="1FBB2071"/>
    <w:rsid w:val="24BE564A"/>
    <w:rsid w:val="265EC44A"/>
    <w:rsid w:val="26D211D6"/>
    <w:rsid w:val="27BAD19A"/>
    <w:rsid w:val="2AFD0E5C"/>
    <w:rsid w:val="2B1634AD"/>
    <w:rsid w:val="2B7EB18E"/>
    <w:rsid w:val="2BCF972F"/>
    <w:rsid w:val="2CFB0F0C"/>
    <w:rsid w:val="2CFF12BE"/>
    <w:rsid w:val="2ED01483"/>
    <w:rsid w:val="2EDF4FF4"/>
    <w:rsid w:val="2EFF6AB9"/>
    <w:rsid w:val="2F2F2966"/>
    <w:rsid w:val="2FA50AB6"/>
    <w:rsid w:val="2FDBB155"/>
    <w:rsid w:val="2FF915E3"/>
    <w:rsid w:val="2FFB1A1E"/>
    <w:rsid w:val="2FFB1BB0"/>
    <w:rsid w:val="2FFFD463"/>
    <w:rsid w:val="31787316"/>
    <w:rsid w:val="31E139ED"/>
    <w:rsid w:val="32D1A8DB"/>
    <w:rsid w:val="33D6D14F"/>
    <w:rsid w:val="33EBCC2D"/>
    <w:rsid w:val="33EE55FA"/>
    <w:rsid w:val="35BFC26F"/>
    <w:rsid w:val="36EF9CF8"/>
    <w:rsid w:val="36FFF916"/>
    <w:rsid w:val="373F3BD8"/>
    <w:rsid w:val="375F618A"/>
    <w:rsid w:val="37E6F10A"/>
    <w:rsid w:val="37FD72CB"/>
    <w:rsid w:val="39B58ABF"/>
    <w:rsid w:val="3B1F9F48"/>
    <w:rsid w:val="3BDF518A"/>
    <w:rsid w:val="3BE79044"/>
    <w:rsid w:val="3D4B67CF"/>
    <w:rsid w:val="3DCD6C3B"/>
    <w:rsid w:val="3DDFE40F"/>
    <w:rsid w:val="3DEC6E5B"/>
    <w:rsid w:val="3DFB91CD"/>
    <w:rsid w:val="3EDFE1E4"/>
    <w:rsid w:val="3F2BE55E"/>
    <w:rsid w:val="3F3F9E4F"/>
    <w:rsid w:val="3F5CA6A9"/>
    <w:rsid w:val="3F7BC032"/>
    <w:rsid w:val="3FB698FB"/>
    <w:rsid w:val="3FBB1876"/>
    <w:rsid w:val="3FBFB923"/>
    <w:rsid w:val="3FD5C07D"/>
    <w:rsid w:val="3FFE310E"/>
    <w:rsid w:val="3FFE7088"/>
    <w:rsid w:val="3FFF6347"/>
    <w:rsid w:val="3FFF93F7"/>
    <w:rsid w:val="3FFFD5AA"/>
    <w:rsid w:val="43A5C299"/>
    <w:rsid w:val="45EF8669"/>
    <w:rsid w:val="47EBB3B1"/>
    <w:rsid w:val="47EF587F"/>
    <w:rsid w:val="4B7B219C"/>
    <w:rsid w:val="4B7B49D3"/>
    <w:rsid w:val="4BBFF0E5"/>
    <w:rsid w:val="4BF5F120"/>
    <w:rsid w:val="4BFC36AF"/>
    <w:rsid w:val="4DB34AB5"/>
    <w:rsid w:val="4EBE45CF"/>
    <w:rsid w:val="4FEEEB5F"/>
    <w:rsid w:val="4FFDADE1"/>
    <w:rsid w:val="4FFF260D"/>
    <w:rsid w:val="50A9178B"/>
    <w:rsid w:val="533F76C0"/>
    <w:rsid w:val="53598D02"/>
    <w:rsid w:val="5376A434"/>
    <w:rsid w:val="53E7BA2A"/>
    <w:rsid w:val="53ED922B"/>
    <w:rsid w:val="53FB53AA"/>
    <w:rsid w:val="568D15A8"/>
    <w:rsid w:val="56F7FAF7"/>
    <w:rsid w:val="575E6F90"/>
    <w:rsid w:val="575F460E"/>
    <w:rsid w:val="579AAA69"/>
    <w:rsid w:val="57DA349D"/>
    <w:rsid w:val="57DF394F"/>
    <w:rsid w:val="57FFBD06"/>
    <w:rsid w:val="59B03D96"/>
    <w:rsid w:val="59E7C55F"/>
    <w:rsid w:val="59FF6373"/>
    <w:rsid w:val="5A7BEEC4"/>
    <w:rsid w:val="5ABBFF5D"/>
    <w:rsid w:val="5ABF30F4"/>
    <w:rsid w:val="5B6F3BB0"/>
    <w:rsid w:val="5B77612B"/>
    <w:rsid w:val="5BDD3839"/>
    <w:rsid w:val="5BFDE7DE"/>
    <w:rsid w:val="5D9BCD9B"/>
    <w:rsid w:val="5DFB6223"/>
    <w:rsid w:val="5DFF5770"/>
    <w:rsid w:val="5EFB05F5"/>
    <w:rsid w:val="5EFEF204"/>
    <w:rsid w:val="5F7FD055"/>
    <w:rsid w:val="5FBD41D5"/>
    <w:rsid w:val="5FDD83A5"/>
    <w:rsid w:val="5FDD8C0A"/>
    <w:rsid w:val="5FDF8A48"/>
    <w:rsid w:val="5FEC0C47"/>
    <w:rsid w:val="5FFDD6B4"/>
    <w:rsid w:val="5FFE5C7D"/>
    <w:rsid w:val="61640FF4"/>
    <w:rsid w:val="635CD9EE"/>
    <w:rsid w:val="66FF38C9"/>
    <w:rsid w:val="67D49D34"/>
    <w:rsid w:val="67DF14EF"/>
    <w:rsid w:val="67F55BED"/>
    <w:rsid w:val="67F73356"/>
    <w:rsid w:val="67FC06A3"/>
    <w:rsid w:val="67FEDC79"/>
    <w:rsid w:val="68FF6F0E"/>
    <w:rsid w:val="69BEDC25"/>
    <w:rsid w:val="6A8B41F6"/>
    <w:rsid w:val="6BBF1AAC"/>
    <w:rsid w:val="6BDF4DB9"/>
    <w:rsid w:val="6BE1B060"/>
    <w:rsid w:val="6C2FAD39"/>
    <w:rsid w:val="6CFB4FF6"/>
    <w:rsid w:val="6D354274"/>
    <w:rsid w:val="6D7F4651"/>
    <w:rsid w:val="6D9E3C08"/>
    <w:rsid w:val="6DF73561"/>
    <w:rsid w:val="6DFF5135"/>
    <w:rsid w:val="6DFFDFC6"/>
    <w:rsid w:val="6E5D39E9"/>
    <w:rsid w:val="6E6BF025"/>
    <w:rsid w:val="6EB1ED49"/>
    <w:rsid w:val="6EB7A056"/>
    <w:rsid w:val="6EF98855"/>
    <w:rsid w:val="6EFEC92E"/>
    <w:rsid w:val="6EFFF647"/>
    <w:rsid w:val="6F3E086E"/>
    <w:rsid w:val="6F7D1E44"/>
    <w:rsid w:val="6F7FC99B"/>
    <w:rsid w:val="6FB73DA5"/>
    <w:rsid w:val="6FB79AF5"/>
    <w:rsid w:val="6FD731AE"/>
    <w:rsid w:val="6FD93FB9"/>
    <w:rsid w:val="6FDFB71C"/>
    <w:rsid w:val="6FE3DD9A"/>
    <w:rsid w:val="6FF7473E"/>
    <w:rsid w:val="6FFA4B91"/>
    <w:rsid w:val="6FFF0E29"/>
    <w:rsid w:val="6FFF2218"/>
    <w:rsid w:val="6FFF44E0"/>
    <w:rsid w:val="6FFF4D4E"/>
    <w:rsid w:val="6FFFB2AC"/>
    <w:rsid w:val="71740F37"/>
    <w:rsid w:val="71F7E717"/>
    <w:rsid w:val="72597CE1"/>
    <w:rsid w:val="727C6E76"/>
    <w:rsid w:val="727F92EF"/>
    <w:rsid w:val="736FB56D"/>
    <w:rsid w:val="737D5884"/>
    <w:rsid w:val="73BFA2FB"/>
    <w:rsid w:val="73DAE2BD"/>
    <w:rsid w:val="73DB55E2"/>
    <w:rsid w:val="73F7B2DC"/>
    <w:rsid w:val="73FDA80B"/>
    <w:rsid w:val="7430CEAA"/>
    <w:rsid w:val="759F9DF6"/>
    <w:rsid w:val="75BF08F8"/>
    <w:rsid w:val="75DC6C33"/>
    <w:rsid w:val="75FD46F3"/>
    <w:rsid w:val="75FD4C61"/>
    <w:rsid w:val="75FF9F88"/>
    <w:rsid w:val="75FFB3B0"/>
    <w:rsid w:val="763FFB3C"/>
    <w:rsid w:val="765AD809"/>
    <w:rsid w:val="766DFE87"/>
    <w:rsid w:val="767E335D"/>
    <w:rsid w:val="76F62417"/>
    <w:rsid w:val="76FF0A5B"/>
    <w:rsid w:val="7765F6FF"/>
    <w:rsid w:val="77771D37"/>
    <w:rsid w:val="777F1B0B"/>
    <w:rsid w:val="779342FB"/>
    <w:rsid w:val="77B3C739"/>
    <w:rsid w:val="77B5160A"/>
    <w:rsid w:val="77BFEBDB"/>
    <w:rsid w:val="77C6230D"/>
    <w:rsid w:val="77CDCC22"/>
    <w:rsid w:val="77DBB5C8"/>
    <w:rsid w:val="77EE6303"/>
    <w:rsid w:val="77FB7BD1"/>
    <w:rsid w:val="79DF3B18"/>
    <w:rsid w:val="79FB2443"/>
    <w:rsid w:val="7AAB3F97"/>
    <w:rsid w:val="7ABEF09E"/>
    <w:rsid w:val="7AEE4041"/>
    <w:rsid w:val="7AEFF9DB"/>
    <w:rsid w:val="7AFD3C37"/>
    <w:rsid w:val="7AFF0C76"/>
    <w:rsid w:val="7B5F27CA"/>
    <w:rsid w:val="7B75532F"/>
    <w:rsid w:val="7B77D4B4"/>
    <w:rsid w:val="7B8BF4EF"/>
    <w:rsid w:val="7B9BDC08"/>
    <w:rsid w:val="7BBF7CDB"/>
    <w:rsid w:val="7BD72987"/>
    <w:rsid w:val="7BDD324F"/>
    <w:rsid w:val="7BDFFCA6"/>
    <w:rsid w:val="7BE704FF"/>
    <w:rsid w:val="7BEE86AF"/>
    <w:rsid w:val="7BF744AE"/>
    <w:rsid w:val="7BF78A95"/>
    <w:rsid w:val="7BFB3DEF"/>
    <w:rsid w:val="7BFC2A4F"/>
    <w:rsid w:val="7BFE4492"/>
    <w:rsid w:val="7BFED7D2"/>
    <w:rsid w:val="7BFF1CD6"/>
    <w:rsid w:val="7C2D43DD"/>
    <w:rsid w:val="7C7FFAAB"/>
    <w:rsid w:val="7CF70498"/>
    <w:rsid w:val="7CF73430"/>
    <w:rsid w:val="7CFF8883"/>
    <w:rsid w:val="7D5F9FEB"/>
    <w:rsid w:val="7D7B5A53"/>
    <w:rsid w:val="7D9E499B"/>
    <w:rsid w:val="7D9FF76B"/>
    <w:rsid w:val="7DBED860"/>
    <w:rsid w:val="7DBF259B"/>
    <w:rsid w:val="7DBF836E"/>
    <w:rsid w:val="7DCF93B3"/>
    <w:rsid w:val="7DDF1006"/>
    <w:rsid w:val="7DDF23BD"/>
    <w:rsid w:val="7DEF1C51"/>
    <w:rsid w:val="7DFF64B3"/>
    <w:rsid w:val="7DFFC6DB"/>
    <w:rsid w:val="7DFFD157"/>
    <w:rsid w:val="7E7AF991"/>
    <w:rsid w:val="7E971529"/>
    <w:rsid w:val="7E9FB798"/>
    <w:rsid w:val="7ED70180"/>
    <w:rsid w:val="7EDF1F94"/>
    <w:rsid w:val="7EEFFF0D"/>
    <w:rsid w:val="7EFDEEC3"/>
    <w:rsid w:val="7EFF5E43"/>
    <w:rsid w:val="7EFF9B57"/>
    <w:rsid w:val="7EFFA003"/>
    <w:rsid w:val="7F1F2E22"/>
    <w:rsid w:val="7F2F0E3B"/>
    <w:rsid w:val="7F4D164A"/>
    <w:rsid w:val="7F59D4B4"/>
    <w:rsid w:val="7F5EA47A"/>
    <w:rsid w:val="7F67024D"/>
    <w:rsid w:val="7F6EA164"/>
    <w:rsid w:val="7F6F0B97"/>
    <w:rsid w:val="7F759B85"/>
    <w:rsid w:val="7F7DD7EF"/>
    <w:rsid w:val="7F8F845D"/>
    <w:rsid w:val="7F8FABB3"/>
    <w:rsid w:val="7F9F094D"/>
    <w:rsid w:val="7FAD9A3E"/>
    <w:rsid w:val="7FB73AD0"/>
    <w:rsid w:val="7FBFF6EF"/>
    <w:rsid w:val="7FCB16BA"/>
    <w:rsid w:val="7FDF5F5A"/>
    <w:rsid w:val="7FDF70A5"/>
    <w:rsid w:val="7FDFE94F"/>
    <w:rsid w:val="7FE92FFC"/>
    <w:rsid w:val="7FEB8D2F"/>
    <w:rsid w:val="7FEE1CE5"/>
    <w:rsid w:val="7FEE43AF"/>
    <w:rsid w:val="7FF3B595"/>
    <w:rsid w:val="7FF6DD45"/>
    <w:rsid w:val="7FF7AE25"/>
    <w:rsid w:val="7FF7FAD7"/>
    <w:rsid w:val="7FFE5BE5"/>
    <w:rsid w:val="7FFE5CBF"/>
    <w:rsid w:val="7FFEE994"/>
    <w:rsid w:val="7FFF000A"/>
    <w:rsid w:val="7FFF06E1"/>
    <w:rsid w:val="7FFF1DD8"/>
    <w:rsid w:val="7FFF39D6"/>
    <w:rsid w:val="7FFFC921"/>
    <w:rsid w:val="7FFFC93B"/>
    <w:rsid w:val="8D780642"/>
    <w:rsid w:val="8FEB8E17"/>
    <w:rsid w:val="8FF356C0"/>
    <w:rsid w:val="8FFF03F6"/>
    <w:rsid w:val="935DAECA"/>
    <w:rsid w:val="965BCD39"/>
    <w:rsid w:val="9B7B703A"/>
    <w:rsid w:val="9BAB570E"/>
    <w:rsid w:val="9DBF0267"/>
    <w:rsid w:val="9F65BDA8"/>
    <w:rsid w:val="9F7FA5EB"/>
    <w:rsid w:val="9FCA4F89"/>
    <w:rsid w:val="9FFFD794"/>
    <w:rsid w:val="A77FD829"/>
    <w:rsid w:val="A7B99433"/>
    <w:rsid w:val="A7BF40ED"/>
    <w:rsid w:val="A9D66BC0"/>
    <w:rsid w:val="ABE0BBCA"/>
    <w:rsid w:val="ADF7EEF4"/>
    <w:rsid w:val="AE8B645A"/>
    <w:rsid w:val="AED9FF6D"/>
    <w:rsid w:val="AF3D4B8D"/>
    <w:rsid w:val="AFDE7E95"/>
    <w:rsid w:val="AFE938FA"/>
    <w:rsid w:val="AFFB7550"/>
    <w:rsid w:val="AFFEA4B0"/>
    <w:rsid w:val="AFFF0294"/>
    <w:rsid w:val="AFFF3740"/>
    <w:rsid w:val="B3DE80C5"/>
    <w:rsid w:val="B3FE8ED6"/>
    <w:rsid w:val="B4D5074C"/>
    <w:rsid w:val="B67FE58D"/>
    <w:rsid w:val="B6959937"/>
    <w:rsid w:val="B6DDE005"/>
    <w:rsid w:val="B6DFB6F8"/>
    <w:rsid w:val="B78FDA8F"/>
    <w:rsid w:val="B797C2EB"/>
    <w:rsid w:val="B7EFB5FE"/>
    <w:rsid w:val="B7F64889"/>
    <w:rsid w:val="B9EFBA9C"/>
    <w:rsid w:val="B9F9A25F"/>
    <w:rsid w:val="BA9B7C8D"/>
    <w:rsid w:val="BAD98084"/>
    <w:rsid w:val="BAEF8370"/>
    <w:rsid w:val="BAFD5229"/>
    <w:rsid w:val="BBEF6AA1"/>
    <w:rsid w:val="BBFCEF52"/>
    <w:rsid w:val="BBFD0206"/>
    <w:rsid w:val="BBFF3586"/>
    <w:rsid w:val="BBFFE7B0"/>
    <w:rsid w:val="BBFFF00B"/>
    <w:rsid w:val="BD6BA4C0"/>
    <w:rsid w:val="BD8FE79C"/>
    <w:rsid w:val="BDE896E4"/>
    <w:rsid w:val="BE0D4172"/>
    <w:rsid w:val="BE798499"/>
    <w:rsid w:val="BE7E98D2"/>
    <w:rsid w:val="BE7EDA48"/>
    <w:rsid w:val="BEDD2F83"/>
    <w:rsid w:val="BEDE51C3"/>
    <w:rsid w:val="BF7E88D9"/>
    <w:rsid w:val="BF7EF30C"/>
    <w:rsid w:val="BF7FFED0"/>
    <w:rsid w:val="BFBBB847"/>
    <w:rsid w:val="BFBDE3E2"/>
    <w:rsid w:val="BFBF00FE"/>
    <w:rsid w:val="BFDCE16A"/>
    <w:rsid w:val="BFDF3ED6"/>
    <w:rsid w:val="BFFA25D1"/>
    <w:rsid w:val="BFFC3741"/>
    <w:rsid w:val="BFFCFD9A"/>
    <w:rsid w:val="BFFF6EA2"/>
    <w:rsid w:val="BFFFADB0"/>
    <w:rsid w:val="CAD9A922"/>
    <w:rsid w:val="CBD78625"/>
    <w:rsid w:val="CBDC482F"/>
    <w:rsid w:val="CCFEA454"/>
    <w:rsid w:val="CCFFA139"/>
    <w:rsid w:val="CDB558E2"/>
    <w:rsid w:val="CDB6DB77"/>
    <w:rsid w:val="CDEFF927"/>
    <w:rsid w:val="CDFFB376"/>
    <w:rsid w:val="CEE1788A"/>
    <w:rsid w:val="CF77D453"/>
    <w:rsid w:val="CFB47170"/>
    <w:rsid w:val="CFD70541"/>
    <w:rsid w:val="CFEDBB91"/>
    <w:rsid w:val="D2DC3F21"/>
    <w:rsid w:val="D3FD1327"/>
    <w:rsid w:val="D4EF878D"/>
    <w:rsid w:val="D6BD1304"/>
    <w:rsid w:val="D6DEF706"/>
    <w:rsid w:val="D78562CD"/>
    <w:rsid w:val="D7D800CF"/>
    <w:rsid w:val="D7FB2D35"/>
    <w:rsid w:val="D9BE49A4"/>
    <w:rsid w:val="D9DFAD92"/>
    <w:rsid w:val="DA5A2E13"/>
    <w:rsid w:val="DADD0A52"/>
    <w:rsid w:val="DAFE1F18"/>
    <w:rsid w:val="DB371402"/>
    <w:rsid w:val="DB686D92"/>
    <w:rsid w:val="DBB349A1"/>
    <w:rsid w:val="DBBBC174"/>
    <w:rsid w:val="DBD4670A"/>
    <w:rsid w:val="DBDF94DF"/>
    <w:rsid w:val="DBF676F7"/>
    <w:rsid w:val="DCF43333"/>
    <w:rsid w:val="DD6D73B8"/>
    <w:rsid w:val="DDEA0244"/>
    <w:rsid w:val="DDF686BC"/>
    <w:rsid w:val="DDFBDFCC"/>
    <w:rsid w:val="DDFD0E7F"/>
    <w:rsid w:val="DDFDCA39"/>
    <w:rsid w:val="DE5385DA"/>
    <w:rsid w:val="DE770A83"/>
    <w:rsid w:val="DEB6AFF5"/>
    <w:rsid w:val="DECD1F35"/>
    <w:rsid w:val="DEDEF6FC"/>
    <w:rsid w:val="DEDFE9C5"/>
    <w:rsid w:val="DEF821BD"/>
    <w:rsid w:val="DEFFAF17"/>
    <w:rsid w:val="DF7F5226"/>
    <w:rsid w:val="DF7F68C0"/>
    <w:rsid w:val="DF9D0530"/>
    <w:rsid w:val="DF9ED233"/>
    <w:rsid w:val="DF9F8FF8"/>
    <w:rsid w:val="DFBB5AFB"/>
    <w:rsid w:val="DFBDC9CF"/>
    <w:rsid w:val="DFBFDF89"/>
    <w:rsid w:val="DFEE9DAC"/>
    <w:rsid w:val="DFF74AFE"/>
    <w:rsid w:val="DFFB29E0"/>
    <w:rsid w:val="DFFB9077"/>
    <w:rsid w:val="DFFD5663"/>
    <w:rsid w:val="DFFD79DD"/>
    <w:rsid w:val="DFFF1B06"/>
    <w:rsid w:val="DFFFB1B6"/>
    <w:rsid w:val="E16FB236"/>
    <w:rsid w:val="E1F70142"/>
    <w:rsid w:val="E3FB5443"/>
    <w:rsid w:val="E3FEDD03"/>
    <w:rsid w:val="E3FF11C1"/>
    <w:rsid w:val="E5F7E6E2"/>
    <w:rsid w:val="E697A4A1"/>
    <w:rsid w:val="E6F5F49C"/>
    <w:rsid w:val="E73F60B7"/>
    <w:rsid w:val="E7FBFB7D"/>
    <w:rsid w:val="E9EDB819"/>
    <w:rsid w:val="EAFBB748"/>
    <w:rsid w:val="EBEF0546"/>
    <w:rsid w:val="EBFB5168"/>
    <w:rsid w:val="ECFF283D"/>
    <w:rsid w:val="ECFFDACE"/>
    <w:rsid w:val="ED6FBAB3"/>
    <w:rsid w:val="EDBB264D"/>
    <w:rsid w:val="EDBB4D5F"/>
    <w:rsid w:val="EDC5FC1C"/>
    <w:rsid w:val="EDC9115B"/>
    <w:rsid w:val="EDFE1871"/>
    <w:rsid w:val="EDFF031F"/>
    <w:rsid w:val="EDFF66D1"/>
    <w:rsid w:val="EE3A2BCA"/>
    <w:rsid w:val="EE7FE888"/>
    <w:rsid w:val="EECBA3FE"/>
    <w:rsid w:val="EEFF55B1"/>
    <w:rsid w:val="EF56AC19"/>
    <w:rsid w:val="EFBFF574"/>
    <w:rsid w:val="EFDF03C9"/>
    <w:rsid w:val="EFEB99C0"/>
    <w:rsid w:val="EFEEDD42"/>
    <w:rsid w:val="EFF33419"/>
    <w:rsid w:val="EFF537B1"/>
    <w:rsid w:val="EFFEAB69"/>
    <w:rsid w:val="F1FF2B50"/>
    <w:rsid w:val="F35FE3B6"/>
    <w:rsid w:val="F3D5719A"/>
    <w:rsid w:val="F3DD8C1A"/>
    <w:rsid w:val="F3F66930"/>
    <w:rsid w:val="F5DB8AE0"/>
    <w:rsid w:val="F5EBC7FC"/>
    <w:rsid w:val="F6375509"/>
    <w:rsid w:val="F66757FC"/>
    <w:rsid w:val="F671BA71"/>
    <w:rsid w:val="F67F02C7"/>
    <w:rsid w:val="F6B7FB7A"/>
    <w:rsid w:val="F73D58B6"/>
    <w:rsid w:val="F75B287F"/>
    <w:rsid w:val="F75B88A9"/>
    <w:rsid w:val="F75D4845"/>
    <w:rsid w:val="F76DC014"/>
    <w:rsid w:val="F7737266"/>
    <w:rsid w:val="F773CE50"/>
    <w:rsid w:val="F777F058"/>
    <w:rsid w:val="F77EDBAF"/>
    <w:rsid w:val="F77FF373"/>
    <w:rsid w:val="F7979DAC"/>
    <w:rsid w:val="F7ABE771"/>
    <w:rsid w:val="F7BDBD19"/>
    <w:rsid w:val="F7DFE6F4"/>
    <w:rsid w:val="F7E33AF0"/>
    <w:rsid w:val="F7EE2DC8"/>
    <w:rsid w:val="F7F52AF7"/>
    <w:rsid w:val="F7F96B71"/>
    <w:rsid w:val="F7FEDBBA"/>
    <w:rsid w:val="F7FF31D3"/>
    <w:rsid w:val="F97AE28C"/>
    <w:rsid w:val="F9FA0988"/>
    <w:rsid w:val="F9FEA823"/>
    <w:rsid w:val="FA76C521"/>
    <w:rsid w:val="FAE3D956"/>
    <w:rsid w:val="FAEB10A9"/>
    <w:rsid w:val="FAF7D506"/>
    <w:rsid w:val="FAFD33E2"/>
    <w:rsid w:val="FAFFB047"/>
    <w:rsid w:val="FB0BD17C"/>
    <w:rsid w:val="FB2FAAF5"/>
    <w:rsid w:val="FB3D714B"/>
    <w:rsid w:val="FB5D1ED2"/>
    <w:rsid w:val="FB7BB97F"/>
    <w:rsid w:val="FBB642F5"/>
    <w:rsid w:val="FBBF41DA"/>
    <w:rsid w:val="FBDB75BD"/>
    <w:rsid w:val="FBDF00FB"/>
    <w:rsid w:val="FBDF154D"/>
    <w:rsid w:val="FBE7B11D"/>
    <w:rsid w:val="FBFB79F0"/>
    <w:rsid w:val="FBFF39B7"/>
    <w:rsid w:val="FBFF8F25"/>
    <w:rsid w:val="FBFFD831"/>
    <w:rsid w:val="FC59F683"/>
    <w:rsid w:val="FC79D2AF"/>
    <w:rsid w:val="FCAE9E43"/>
    <w:rsid w:val="FCE3CE75"/>
    <w:rsid w:val="FCFF8249"/>
    <w:rsid w:val="FD6615C4"/>
    <w:rsid w:val="FD6799D6"/>
    <w:rsid w:val="FD6FBCBF"/>
    <w:rsid w:val="FD7A7C2A"/>
    <w:rsid w:val="FD9F688D"/>
    <w:rsid w:val="FDBF38F3"/>
    <w:rsid w:val="FDBFC8F0"/>
    <w:rsid w:val="FDDF5EC9"/>
    <w:rsid w:val="FDEE411B"/>
    <w:rsid w:val="FDEF3613"/>
    <w:rsid w:val="FDEF718E"/>
    <w:rsid w:val="FDF34AA4"/>
    <w:rsid w:val="FDF7B1C8"/>
    <w:rsid w:val="FDFD4B6D"/>
    <w:rsid w:val="FDFDD71B"/>
    <w:rsid w:val="FDFF28EC"/>
    <w:rsid w:val="FE3BF73B"/>
    <w:rsid w:val="FE5E5EB0"/>
    <w:rsid w:val="FEA32055"/>
    <w:rsid w:val="FEABC05C"/>
    <w:rsid w:val="FEAE5F79"/>
    <w:rsid w:val="FEB61FFA"/>
    <w:rsid w:val="FEBF81F9"/>
    <w:rsid w:val="FEC4B05F"/>
    <w:rsid w:val="FED753EE"/>
    <w:rsid w:val="FEDA7F45"/>
    <w:rsid w:val="FEE73DAE"/>
    <w:rsid w:val="FEF5AB42"/>
    <w:rsid w:val="FEFF5EC9"/>
    <w:rsid w:val="FF3F9537"/>
    <w:rsid w:val="FF4BFBE8"/>
    <w:rsid w:val="FF532A9E"/>
    <w:rsid w:val="FF616CFF"/>
    <w:rsid w:val="FF675273"/>
    <w:rsid w:val="FF6CABAC"/>
    <w:rsid w:val="FF7FB262"/>
    <w:rsid w:val="FF7FCF8B"/>
    <w:rsid w:val="FF7FEEB9"/>
    <w:rsid w:val="FFA7064E"/>
    <w:rsid w:val="FFABBE16"/>
    <w:rsid w:val="FFAE4CE3"/>
    <w:rsid w:val="FFB72485"/>
    <w:rsid w:val="FFB772BD"/>
    <w:rsid w:val="FFBF6DE1"/>
    <w:rsid w:val="FFBFEE01"/>
    <w:rsid w:val="FFCD5A89"/>
    <w:rsid w:val="FFDC4B12"/>
    <w:rsid w:val="FFE43585"/>
    <w:rsid w:val="FFE44A1E"/>
    <w:rsid w:val="FFE55EDC"/>
    <w:rsid w:val="FFEDCECF"/>
    <w:rsid w:val="FFEF331F"/>
    <w:rsid w:val="FFEF4C51"/>
    <w:rsid w:val="FFF2246E"/>
    <w:rsid w:val="FFF35C3E"/>
    <w:rsid w:val="FFF37089"/>
    <w:rsid w:val="FFF63295"/>
    <w:rsid w:val="FFF73E21"/>
    <w:rsid w:val="FFF7B51A"/>
    <w:rsid w:val="FFF7B9DA"/>
    <w:rsid w:val="FFF92679"/>
    <w:rsid w:val="FFFAC207"/>
    <w:rsid w:val="FFFB918D"/>
    <w:rsid w:val="FFFCE690"/>
    <w:rsid w:val="FFFD2AC8"/>
    <w:rsid w:val="FFFE1EF4"/>
    <w:rsid w:val="FFFE2F14"/>
    <w:rsid w:val="FFFF2148"/>
    <w:rsid w:val="FFFF9BC2"/>
    <w:rsid w:val="FFFFB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rFonts w:eastAsia="SimSun-ExtB"/>
      <w:b/>
      <w:bCs/>
      <w:kern w:val="44"/>
      <w:sz w:val="28"/>
      <w:szCs w:val="44"/>
    </w:rPr>
  </w:style>
  <w:style w:type="paragraph" w:styleId="4">
    <w:name w:val="heading 2"/>
    <w:basedOn w:val="3"/>
    <w:next w:val="1"/>
    <w:link w:val="28"/>
    <w:unhideWhenUsed/>
    <w:qFormat/>
    <w:uiPriority w:val="9"/>
    <w:pPr>
      <w:spacing w:before="0" w:after="0" w:line="360" w:lineRule="auto"/>
      <w:ind w:firstLine="643" w:firstLineChars="200"/>
      <w:jc w:val="left"/>
      <w:outlineLvl w:val="1"/>
    </w:pPr>
    <w:rPr>
      <w:rFonts w:ascii="Times New Roman" w:hAnsi="Times New Roman"/>
      <w:sz w:val="24"/>
    </w:rPr>
  </w:style>
  <w:style w:type="paragraph" w:styleId="5">
    <w:name w:val="heading 3"/>
    <w:basedOn w:val="1"/>
    <w:next w:val="1"/>
    <w:link w:val="31"/>
    <w:unhideWhenUsed/>
    <w:qFormat/>
    <w:uiPriority w:val="9"/>
    <w:pPr>
      <w:keepNext/>
      <w:keepLines/>
      <w:spacing w:line="360" w:lineRule="auto"/>
      <w:jc w:val="left"/>
      <w:outlineLvl w:val="2"/>
    </w:pPr>
    <w:rPr>
      <w:rFonts w:eastAsia="SimSun-ExtB"/>
      <w:b/>
      <w:bCs/>
      <w:sz w:val="24"/>
      <w:szCs w:val="32"/>
    </w:rPr>
  </w:style>
  <w:style w:type="paragraph" w:styleId="6">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pPr>
    <w:rPr>
      <w:rFonts w:ascii="Times New Roman" w:hAnsi="Times New Roman"/>
      <w:szCs w:val="20"/>
    </w:rPr>
  </w:style>
  <w:style w:type="paragraph" w:styleId="8">
    <w:name w:val="caption"/>
    <w:basedOn w:val="1"/>
    <w:next w:val="1"/>
    <w:qFormat/>
    <w:uiPriority w:val="99"/>
    <w:pPr>
      <w:pBdr>
        <w:top w:val="none" w:color="auto" w:sz="0" w:space="1"/>
        <w:left w:val="none" w:color="auto" w:sz="0" w:space="4"/>
        <w:bottom w:val="none" w:color="auto" w:sz="0" w:space="1"/>
        <w:right w:val="none" w:color="auto" w:sz="0" w:space="4"/>
      </w:pBdr>
      <w:ind w:firstLine="200"/>
      <w:jc w:val="center"/>
    </w:pPr>
    <w:rPr>
      <w:b/>
      <w:sz w:val="24"/>
      <w:szCs w:val="20"/>
    </w:rPr>
  </w:style>
  <w:style w:type="paragraph" w:styleId="9">
    <w:name w:val="Body Text"/>
    <w:basedOn w:val="1"/>
    <w:link w:val="27"/>
    <w:qFormat/>
    <w:uiPriority w:val="0"/>
    <w:rPr>
      <w:rFonts w:ascii="Times New Roman" w:hAnsi="Times New Roman" w:eastAsia="仿宋_GB2312" w:cs="Times New Roman"/>
      <w:sz w:val="32"/>
    </w:rPr>
  </w:style>
  <w:style w:type="paragraph" w:styleId="10">
    <w:name w:val="toc 3"/>
    <w:basedOn w:val="1"/>
    <w:next w:val="1"/>
    <w:unhideWhenUsed/>
    <w:qFormat/>
    <w:uiPriority w:val="39"/>
    <w:pPr>
      <w:ind w:left="840" w:leftChars="400"/>
    </w:pPr>
  </w:style>
  <w:style w:type="paragraph" w:styleId="11">
    <w:name w:val="Date"/>
    <w:basedOn w:val="1"/>
    <w:next w:val="1"/>
    <w:link w:val="34"/>
    <w:semiHidden/>
    <w:unhideWhenUsed/>
    <w:qFormat/>
    <w:uiPriority w:val="99"/>
    <w:pPr>
      <w:ind w:left="100" w:leftChars="2500"/>
    </w:pPr>
  </w:style>
  <w:style w:type="paragraph" w:styleId="12">
    <w:name w:val="Balloon Text"/>
    <w:basedOn w:val="1"/>
    <w:link w:val="33"/>
    <w:semiHidden/>
    <w:unhideWhenUsed/>
    <w:qFormat/>
    <w:uiPriority w:val="99"/>
    <w:rPr>
      <w:rFonts w:ascii="宋体" w:eastAsia="宋体"/>
      <w:sz w:val="18"/>
      <w:szCs w:val="18"/>
    </w:rPr>
  </w:style>
  <w:style w:type="paragraph" w:styleId="13">
    <w:name w:val="footer"/>
    <w:basedOn w:val="1"/>
    <w:link w:val="32"/>
    <w:unhideWhenUsed/>
    <w:qFormat/>
    <w:uiPriority w:val="99"/>
    <w:pPr>
      <w:tabs>
        <w:tab w:val="center" w:pos="4153"/>
        <w:tab w:val="right" w:pos="8306"/>
      </w:tabs>
      <w:snapToGrid w:val="0"/>
      <w:jc w:val="left"/>
    </w:pPr>
    <w:rPr>
      <w:sz w:val="18"/>
      <w:szCs w:val="18"/>
    </w:rPr>
  </w:style>
  <w:style w:type="paragraph" w:styleId="1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rPr>
  </w:style>
  <w:style w:type="character" w:styleId="23">
    <w:name w:val="page number"/>
    <w:basedOn w:val="21"/>
    <w:semiHidden/>
    <w:unhideWhenUsed/>
    <w:qFormat/>
    <w:uiPriority w:val="99"/>
  </w:style>
  <w:style w:type="character" w:styleId="24">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5">
    <w:name w:val="Emphasis"/>
    <w:basedOn w:val="21"/>
    <w:qFormat/>
    <w:uiPriority w:val="20"/>
    <w:rPr>
      <w:i/>
    </w:rPr>
  </w:style>
  <w:style w:type="character" w:styleId="26">
    <w:name w:val="Hyperlink"/>
    <w:basedOn w:val="21"/>
    <w:unhideWhenUsed/>
    <w:qFormat/>
    <w:uiPriority w:val="99"/>
    <w:rPr>
      <w:color w:val="0563C1" w:themeColor="hyperlink"/>
      <w:u w:val="single"/>
      <w14:textFill>
        <w14:solidFill>
          <w14:schemeClr w14:val="hlink"/>
        </w14:solidFill>
      </w14:textFill>
    </w:rPr>
  </w:style>
  <w:style w:type="character" w:customStyle="1" w:styleId="27">
    <w:name w:val="正文文本 字符"/>
    <w:basedOn w:val="21"/>
    <w:link w:val="9"/>
    <w:qFormat/>
    <w:uiPriority w:val="0"/>
    <w:rPr>
      <w:rFonts w:ascii="Times New Roman" w:hAnsi="Times New Roman" w:eastAsia="仿宋_GB2312" w:cs="Times New Roman"/>
      <w:sz w:val="32"/>
    </w:rPr>
  </w:style>
  <w:style w:type="character" w:customStyle="1" w:styleId="28">
    <w:name w:val="标题 2 字符"/>
    <w:basedOn w:val="21"/>
    <w:link w:val="4"/>
    <w:qFormat/>
    <w:uiPriority w:val="9"/>
    <w:rPr>
      <w:rFonts w:ascii="Times New Roman" w:hAnsi="Times New Roman" w:eastAsia="SimSun-ExtB"/>
      <w:b/>
      <w:bCs/>
      <w:kern w:val="44"/>
      <w:sz w:val="24"/>
      <w:szCs w:val="44"/>
    </w:rPr>
  </w:style>
  <w:style w:type="character" w:customStyle="1" w:styleId="29">
    <w:name w:val="标题 1 字符"/>
    <w:basedOn w:val="21"/>
    <w:link w:val="3"/>
    <w:qFormat/>
    <w:uiPriority w:val="9"/>
    <w:rPr>
      <w:rFonts w:eastAsia="SimSun-ExtB"/>
      <w:b/>
      <w:bCs/>
      <w:kern w:val="44"/>
      <w:sz w:val="28"/>
      <w:szCs w:val="44"/>
    </w:rPr>
  </w:style>
  <w:style w:type="character" w:customStyle="1" w:styleId="30">
    <w:name w:val="标题 4 字符"/>
    <w:basedOn w:val="21"/>
    <w:link w:val="6"/>
    <w:qFormat/>
    <w:uiPriority w:val="9"/>
    <w:rPr>
      <w:rFonts w:asciiTheme="majorHAnsi" w:hAnsiTheme="majorHAnsi" w:eastAsiaTheme="majorEastAsia" w:cstheme="majorBidi"/>
      <w:b/>
      <w:bCs/>
      <w:sz w:val="28"/>
      <w:szCs w:val="28"/>
    </w:rPr>
  </w:style>
  <w:style w:type="character" w:customStyle="1" w:styleId="31">
    <w:name w:val="标题 3 字符"/>
    <w:basedOn w:val="21"/>
    <w:link w:val="5"/>
    <w:qFormat/>
    <w:uiPriority w:val="9"/>
    <w:rPr>
      <w:rFonts w:eastAsia="SimSun-ExtB"/>
      <w:b/>
      <w:bCs/>
      <w:sz w:val="24"/>
      <w:szCs w:val="32"/>
    </w:rPr>
  </w:style>
  <w:style w:type="character" w:customStyle="1" w:styleId="32">
    <w:name w:val="页脚 字符"/>
    <w:basedOn w:val="21"/>
    <w:link w:val="13"/>
    <w:qFormat/>
    <w:uiPriority w:val="99"/>
    <w:rPr>
      <w:sz w:val="18"/>
      <w:szCs w:val="18"/>
    </w:rPr>
  </w:style>
  <w:style w:type="character" w:customStyle="1" w:styleId="33">
    <w:name w:val="批注框文本 字符"/>
    <w:basedOn w:val="21"/>
    <w:link w:val="12"/>
    <w:semiHidden/>
    <w:qFormat/>
    <w:uiPriority w:val="99"/>
    <w:rPr>
      <w:rFonts w:ascii="宋体" w:eastAsia="宋体"/>
      <w:sz w:val="18"/>
      <w:szCs w:val="18"/>
    </w:rPr>
  </w:style>
  <w:style w:type="character" w:customStyle="1" w:styleId="34">
    <w:name w:val="日期 字符"/>
    <w:basedOn w:val="21"/>
    <w:link w:val="11"/>
    <w:semiHidden/>
    <w:qFormat/>
    <w:uiPriority w:val="99"/>
  </w:style>
  <w:style w:type="character" w:customStyle="1" w:styleId="35">
    <w:name w:val="未处理的提及1"/>
    <w:basedOn w:val="21"/>
    <w:semiHidden/>
    <w:unhideWhenUsed/>
    <w:qFormat/>
    <w:uiPriority w:val="99"/>
    <w:rPr>
      <w:color w:val="605E5C"/>
      <w:shd w:val="clear" w:color="auto" w:fill="E1DFDD"/>
    </w:rPr>
  </w:style>
  <w:style w:type="paragraph" w:styleId="36">
    <w:name w:val="List Paragraph"/>
    <w:basedOn w:val="1"/>
    <w:qFormat/>
    <w:uiPriority w:val="34"/>
    <w:pPr>
      <w:ind w:firstLine="420" w:firstLineChars="200"/>
    </w:pPr>
  </w:style>
  <w:style w:type="character" w:customStyle="1" w:styleId="37">
    <w:name w:val="页眉 字符"/>
    <w:basedOn w:val="21"/>
    <w:link w:val="14"/>
    <w:qFormat/>
    <w:uiPriority w:val="99"/>
    <w:rPr>
      <w:sz w:val="18"/>
      <w:szCs w:val="18"/>
    </w:rPr>
  </w:style>
  <w:style w:type="character" w:customStyle="1" w:styleId="38">
    <w:name w:val="未处理的提及2"/>
    <w:basedOn w:val="21"/>
    <w:semiHidden/>
    <w:unhideWhenUsed/>
    <w:qFormat/>
    <w:uiPriority w:val="99"/>
    <w:rPr>
      <w:color w:val="605E5C"/>
      <w:shd w:val="clear" w:color="auto" w:fill="E1DFDD"/>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WPSOffice手动目录 2"/>
    <w:qFormat/>
    <w:uiPriority w:val="0"/>
    <w:pPr>
      <w:ind w:leftChars="200"/>
    </w:pPr>
    <w:rPr>
      <w:rFonts w:ascii="Times New Roman" w:hAnsi="Times New Roman" w:eastAsia="宋体" w:cs="Times New Roman"/>
      <w:sz w:val="20"/>
      <w:szCs w:val="20"/>
    </w:rPr>
  </w:style>
  <w:style w:type="character" w:customStyle="1" w:styleId="41">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home\user\&#26700;&#38754;\20211008(&#37329;&#34701;&#21150;)2016-2018&#24180;&#37329;&#34701;&#19994;&#22686;&#21152;&#20540;.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ata\usershare\%20PLN\PLN2021\10.13\&#37329;&#34701;&#26426;&#26500;.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50" b="0" i="0" u="none" strike="noStrike" kern="1200" spc="0" baseline="0">
                <a:solidFill>
                  <a:schemeClr val="tx1">
                    <a:lumMod val="65000"/>
                    <a:lumOff val="35000"/>
                  </a:schemeClr>
                </a:solidFill>
                <a:latin typeface="华文楷体" panose="02010600040101010101" charset="-122"/>
                <a:ea typeface="华文楷体" panose="02010600040101010101" charset="-122"/>
                <a:cs typeface="华文楷体" panose="02010600040101010101" charset="-122"/>
                <a:sym typeface="华文楷体" panose="02010600040101010101" charset="-122"/>
              </a:defRPr>
            </a:pPr>
            <a:r>
              <a:rPr lang="en-US" altLang="zh-CN" sz="1050" b="0" i="0" u="none" strike="noStrike" baseline="0">
                <a:solidFill>
                  <a:srgbClr val="333333"/>
                </a:solidFill>
                <a:latin typeface="华文楷体" panose="02010600040101010101" charset="-122"/>
                <a:ea typeface="华文楷体" panose="02010600040101010101" charset="-122"/>
                <a:cs typeface="华文楷体" panose="02010600040101010101" charset="-122"/>
                <a:sym typeface="华文楷体" panose="02010600040101010101" charset="-122"/>
              </a:rPr>
              <a:t>2016-2020</a:t>
            </a:r>
            <a:r>
              <a:rPr lang="zh-CN" altLang="en-US" sz="1050" b="0" i="0" u="none" strike="noStrike" baseline="0">
                <a:solidFill>
                  <a:srgbClr val="333333"/>
                </a:solidFill>
                <a:latin typeface="华文楷体" panose="02010600040101010101" charset="-122"/>
                <a:ea typeface="华文楷体" panose="02010600040101010101" charset="-122"/>
                <a:cs typeface="华文楷体" panose="02010600040101010101" charset="-122"/>
                <a:sym typeface="华文楷体" panose="02010600040101010101" charset="-122"/>
              </a:rPr>
              <a:t>年金融业增加值</a:t>
            </a:r>
            <a:endParaRPr lang="zh-CN" altLang="en-US" sz="1050" b="0" i="0" u="none" strike="noStrike" baseline="0">
              <a:solidFill>
                <a:srgbClr val="000000"/>
              </a:solidFill>
              <a:latin typeface="华文楷体" panose="02010600040101010101" charset="-122"/>
              <a:ea typeface="华文楷体" panose="02010600040101010101" charset="-122"/>
              <a:cs typeface="华文楷体" panose="02010600040101010101" charset="-122"/>
              <a:sym typeface="华文楷体" panose="02010600040101010101" charset="-122"/>
            </a:endParaRPr>
          </a:p>
        </c:rich>
      </c:tx>
      <c:layout/>
      <c:overlay val="false"/>
      <c:spPr>
        <a:noFill/>
        <a:ln>
          <a:noFill/>
        </a:ln>
        <a:effectLst/>
      </c:spPr>
    </c:title>
    <c:autoTitleDeleted val="false"/>
    <c:plotArea>
      <c:layout/>
      <c:barChart>
        <c:barDir val="col"/>
        <c:grouping val="clustered"/>
        <c:varyColors val="false"/>
        <c:ser>
          <c:idx val="0"/>
          <c:order val="0"/>
          <c:tx>
            <c:strRef>
              <c:f>'[20211008(金融办)2016-2018年金融业增加值.et]Sheet1'!$C$4</c:f>
              <c:strCache>
                <c:ptCount val="1"/>
                <c:pt idx="0">
                  <c:v>总量</c:v>
                </c:pt>
              </c:strCache>
            </c:strRef>
          </c:tx>
          <c:spPr>
            <a:solidFill>
              <a:schemeClr val="accent6"/>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'[20211008(金融办)2016-2018年金融业增加值.et]Sheet1'!$B$5:$B$9</c:f>
              <c:strCache>
                <c:ptCount val="5"/>
                <c:pt idx="0">
                  <c:v>2016年</c:v>
                </c:pt>
                <c:pt idx="1">
                  <c:v>2017年</c:v>
                </c:pt>
                <c:pt idx="2">
                  <c:v>2018年</c:v>
                </c:pt>
                <c:pt idx="3">
                  <c:v>2019年</c:v>
                </c:pt>
                <c:pt idx="4">
                  <c:v>2020年</c:v>
                </c:pt>
              </c:strCache>
            </c:strRef>
          </c:cat>
          <c:val>
            <c:numRef>
              <c:f>'[20211008(金融办)2016-2018年金融业增加值.et]Sheet1'!$C$5:$C$9</c:f>
              <c:numCache>
                <c:formatCode>General</c:formatCode>
                <c:ptCount val="5"/>
                <c:pt idx="0">
                  <c:v>121.66</c:v>
                </c:pt>
                <c:pt idx="1">
                  <c:v>129.9</c:v>
                </c:pt>
                <c:pt idx="2">
                  <c:v>135.74</c:v>
                </c:pt>
                <c:pt idx="3">
                  <c:v>149.59</c:v>
                </c:pt>
                <c:pt idx="4">
                  <c:v>155.83</c:v>
                </c:pt>
              </c:numCache>
            </c:numRef>
          </c:val>
        </c:ser>
        <c:dLbls>
          <c:showLegendKey val="false"/>
          <c:showVal val="false"/>
          <c:showCatName val="false"/>
          <c:showSerName val="false"/>
          <c:showPercent val="false"/>
          <c:showBubbleSize val="false"/>
        </c:dLbls>
        <c:gapWidth val="219"/>
        <c:overlap val="-27"/>
        <c:axId val="248997488"/>
        <c:axId val="248998048"/>
      </c:barChart>
      <c:lineChart>
        <c:grouping val="standard"/>
        <c:varyColors val="false"/>
        <c:ser>
          <c:idx val="1"/>
          <c:order val="1"/>
          <c:tx>
            <c:strRef>
              <c:f>'[20211008(金融办)2016-2018年金融业增加值.et]Sheet1'!$D$4</c:f>
              <c:strCache>
                <c:ptCount val="1"/>
                <c:pt idx="0">
                  <c:v>增速</c:v>
                </c:pt>
              </c:strCache>
            </c:strRef>
          </c:tx>
          <c:spPr>
            <a:ln w="19050" cap="rnd" cmpd="sng" algn="ctr">
              <a:solidFill>
                <a:schemeClr val="accent5"/>
              </a:solidFill>
              <a:prstDash val="solid"/>
              <a:round/>
            </a:ln>
            <a:effectLst/>
          </c:spPr>
          <c:marker>
            <c:symbol val="circle"/>
            <c:size val="5"/>
            <c:spPr>
              <a:solidFill>
                <a:schemeClr val="accent5"/>
              </a:solidFill>
              <a:ln w="6350" cap="flat" cmpd="sng" algn="ctr">
                <a:solidFill>
                  <a:schemeClr val="accent5"/>
                </a:solidFill>
                <a:prstDash val="solid"/>
                <a:round/>
              </a:ln>
              <a:effectLst/>
            </c:spPr>
          </c:marker>
          <c:dLbls>
            <c:dLbl>
              <c:idx val="2"/>
              <c:layout>
                <c:manualLayout>
                  <c:x val="-0.00417827298050139"/>
                  <c:y val="0.0310398344542162"/>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431754874651811"/>
                  <c:y val="-0.0310398344542162"/>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'[20211008(金融办)2016-2018年金融业增加值.et]Sheet1'!$B$5:$B$9</c:f>
              <c:strCache>
                <c:ptCount val="5"/>
                <c:pt idx="0">
                  <c:v>2016年</c:v>
                </c:pt>
                <c:pt idx="1">
                  <c:v>2017年</c:v>
                </c:pt>
                <c:pt idx="2">
                  <c:v>2018年</c:v>
                </c:pt>
                <c:pt idx="3">
                  <c:v>2019年</c:v>
                </c:pt>
                <c:pt idx="4">
                  <c:v>2020年</c:v>
                </c:pt>
              </c:strCache>
            </c:strRef>
          </c:cat>
          <c:val>
            <c:numRef>
              <c:f>'[20211008(金融办)2016-2018年金融业增加值.et]Sheet1'!$D$5:$D$9</c:f>
              <c:numCache>
                <c:formatCode>0.00%</c:formatCode>
                <c:ptCount val="5"/>
                <c:pt idx="0">
                  <c:v>0.157</c:v>
                </c:pt>
                <c:pt idx="1">
                  <c:v>0.044</c:v>
                </c:pt>
                <c:pt idx="2">
                  <c:v>-0.013</c:v>
                </c:pt>
                <c:pt idx="3">
                  <c:v>0.071</c:v>
                </c:pt>
                <c:pt idx="4" c:formatCode="0%">
                  <c:v>0.05</c:v>
                </c:pt>
              </c:numCache>
            </c:numRef>
          </c:val>
          <c:smooth val="false"/>
        </c:ser>
        <c:ser>
          <c:idx val="2"/>
          <c:order val="2"/>
          <c:tx>
            <c:strRef>
              <c:f>'[20211008(金融办)2016-2018年金融业增加值.et]Sheet1'!$E$4</c:f>
              <c:strCache>
                <c:ptCount val="1"/>
                <c:pt idx="0">
                  <c:v>占地区生产总值的比重</c:v>
                </c:pt>
              </c:strCache>
            </c:strRef>
          </c:tx>
          <c:spPr>
            <a:ln w="19050" cap="rnd" cmpd="sng" algn="ctr">
              <a:solidFill>
                <a:schemeClr val="accent4"/>
              </a:solidFill>
              <a:prstDash val="solid"/>
              <a:round/>
            </a:ln>
            <a:effectLst/>
          </c:spPr>
          <c:marker>
            <c:symbol val="circle"/>
            <c:size val="5"/>
            <c:spPr>
              <a:solidFill>
                <a:schemeClr val="accent4"/>
              </a:solidFill>
              <a:ln w="6350" cap="flat" cmpd="sng" algn="ctr">
                <a:solidFill>
                  <a:schemeClr val="accent4"/>
                </a:solidFill>
                <a:prstDash val="solid"/>
                <a:round/>
              </a:ln>
              <a:effectLst/>
            </c:spPr>
          </c:marker>
          <c:dLbls>
            <c:dLbl>
              <c:idx val="3"/>
              <c:layout>
                <c:manualLayout>
                  <c:x val="-0.0292479108635097"/>
                  <c:y val="0.0336264873254009"/>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'[20211008(金融办)2016-2018年金融业增加值.et]Sheet1'!$B$5:$B$9</c:f>
              <c:strCache>
                <c:ptCount val="5"/>
                <c:pt idx="0">
                  <c:v>2016年</c:v>
                </c:pt>
                <c:pt idx="1">
                  <c:v>2017年</c:v>
                </c:pt>
                <c:pt idx="2">
                  <c:v>2018年</c:v>
                </c:pt>
                <c:pt idx="3">
                  <c:v>2019年</c:v>
                </c:pt>
                <c:pt idx="4">
                  <c:v>2020年</c:v>
                </c:pt>
              </c:strCache>
            </c:strRef>
          </c:cat>
          <c:val>
            <c:numRef>
              <c:f>'[20211008(金融办)2016-2018年金融业增加值.et]Sheet1'!$E$5:$E$9</c:f>
              <c:numCache>
                <c:formatCode>0.00%</c:formatCode>
                <c:ptCount val="5"/>
                <c:pt idx="0">
                  <c:v>0.063</c:v>
                </c:pt>
                <c:pt idx="1">
                  <c:v>0.063</c:v>
                </c:pt>
                <c:pt idx="2">
                  <c:v>0.063</c:v>
                </c:pt>
                <c:pt idx="3">
                  <c:v>0.066</c:v>
                </c:pt>
                <c:pt idx="4">
                  <c:v>0.067</c:v>
                </c:pt>
              </c:numCache>
            </c:numRef>
          </c:val>
          <c:smooth val="false"/>
        </c:ser>
        <c:ser>
          <c:idx val="3"/>
          <c:order val="3"/>
          <c:tx>
            <c:strRef>
              <c:f>'[20211008(金融办)2016-2018年金融业增加值.et]Sheet1'!$F$4</c:f>
              <c:strCache>
                <c:ptCount val="1"/>
                <c:pt idx="0">
                  <c:v>占服务业增加值比重</c:v>
                </c:pt>
              </c:strCache>
            </c:strRef>
          </c:tx>
          <c:spPr>
            <a:ln w="19050" cap="rnd" cmpd="sng" algn="ctr">
              <a:solidFill>
                <a:schemeClr val="accent6">
                  <a:lumMod val="60000"/>
                </a:schemeClr>
              </a:solidFill>
              <a:prstDash val="solid"/>
              <a:round/>
            </a:ln>
            <a:effectLst/>
          </c:spPr>
          <c:marker>
            <c:spPr>
              <a:noFill/>
              <a:ln w="6350" cap="flat" cmpd="sng" algn="ctr">
                <a:solidFill>
                  <a:schemeClr val="accent6">
                    <a:lumMod val="60000"/>
                  </a:schemeClr>
                </a:solidFill>
                <a:prstDash val="solid"/>
                <a:round/>
              </a:ln>
              <a:effectLst/>
            </c:spPr>
          </c:marker>
          <c:dLbls>
            <c:dLbl>
              <c:idx val="0"/>
              <c:layout>
                <c:manualLayout>
                  <c:x val="0.00723327305605787"/>
                  <c:y val="-0.012539184952978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
                  <c:y val="-0.00258665287118469"/>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'[20211008(金融办)2016-2018年金融业增加值.et]Sheet1'!$B$5:$B$9</c:f>
              <c:strCache>
                <c:ptCount val="5"/>
                <c:pt idx="0">
                  <c:v>2016年</c:v>
                </c:pt>
                <c:pt idx="1">
                  <c:v>2017年</c:v>
                </c:pt>
                <c:pt idx="2">
                  <c:v>2018年</c:v>
                </c:pt>
                <c:pt idx="3">
                  <c:v>2019年</c:v>
                </c:pt>
                <c:pt idx="4">
                  <c:v>2020年</c:v>
                </c:pt>
              </c:strCache>
            </c:strRef>
          </c:cat>
          <c:val>
            <c:numRef>
              <c:f>'[20211008(金融办)2016-2018年金融业增加值.et]Sheet1'!$F$5:$F$9</c:f>
              <c:numCache>
                <c:formatCode>0.00%</c:formatCode>
                <c:ptCount val="5"/>
                <c:pt idx="0">
                  <c:v>0.137</c:v>
                </c:pt>
                <c:pt idx="1">
                  <c:v>0.133</c:v>
                </c:pt>
                <c:pt idx="2">
                  <c:v>0.129</c:v>
                </c:pt>
                <c:pt idx="3">
                  <c:v>0.132</c:v>
                </c:pt>
                <c:pt idx="4">
                  <c:v>0.131</c:v>
                </c:pt>
              </c:numCache>
            </c:numRef>
          </c:val>
          <c:smooth val="false"/>
        </c:ser>
        <c:dLbls>
          <c:showLegendKey val="false"/>
          <c:showVal val="false"/>
          <c:showCatName val="false"/>
          <c:showSerName val="false"/>
          <c:showPercent val="false"/>
          <c:showBubbleSize val="false"/>
        </c:dLbls>
        <c:marker val="true"/>
        <c:smooth val="false"/>
        <c:axId val="248998608"/>
        <c:axId val="248999168"/>
      </c:lineChart>
      <c:catAx>
        <c:axId val="248997488"/>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48998048"/>
        <c:crosses val="autoZero"/>
        <c:auto val="true"/>
        <c:lblAlgn val="ctr"/>
        <c:lblOffset val="100"/>
        <c:noMultiLvlLbl val="false"/>
      </c:catAx>
      <c:valAx>
        <c:axId val="248998048"/>
        <c:scaling>
          <c:orientation val="minMax"/>
          <c:max val="160"/>
          <c:min val="-40"/>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48997488"/>
        <c:crosses val="autoZero"/>
        <c:crossBetween val="between"/>
      </c:valAx>
      <c:catAx>
        <c:axId val="248998608"/>
        <c:scaling>
          <c:orientation val="minMax"/>
        </c:scaling>
        <c:delete val="true"/>
        <c:axPos val="b"/>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48999168"/>
        <c:crosses val="autoZero"/>
        <c:auto val="true"/>
        <c:lblAlgn val="ctr"/>
        <c:lblOffset val="100"/>
        <c:noMultiLvlLbl val="false"/>
      </c:catAx>
      <c:valAx>
        <c:axId val="248999168"/>
        <c:scaling>
          <c:orientation val="minMax"/>
          <c:max val="0.16"/>
        </c:scaling>
        <c:delete val="false"/>
        <c:axPos val="r"/>
        <c:numFmt formatCode="0%" sourceLinked="false"/>
        <c:majorTickMark val="out"/>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48998608"/>
        <c:crosses val="max"/>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50" b="0" i="0" u="none" strike="noStrike" kern="1200" spc="0" baseline="0">
                <a:solidFill>
                  <a:schemeClr val="tx1">
                    <a:lumMod val="65000"/>
                    <a:lumOff val="35000"/>
                  </a:schemeClr>
                </a:solidFill>
                <a:latin typeface="华文楷体" panose="02010600040101010101" charset="-122"/>
                <a:ea typeface="华文楷体" panose="02010600040101010101" charset="-122"/>
                <a:cs typeface="华文楷体" panose="02010600040101010101" charset="-122"/>
                <a:sym typeface="华文楷体" panose="02010600040101010101" charset="-122"/>
              </a:defRPr>
            </a:pPr>
            <a:r>
              <a:rPr lang="en-US" altLang="zh-CN" sz="1050" b="0" i="0" u="none" strike="noStrike" baseline="0">
                <a:solidFill>
                  <a:srgbClr val="333333"/>
                </a:solidFill>
                <a:latin typeface="华文楷体" panose="02010600040101010101" charset="-122"/>
                <a:ea typeface="华文楷体" panose="02010600040101010101" charset="-122"/>
                <a:cs typeface="华文楷体" panose="02010600040101010101" charset="-122"/>
                <a:sym typeface="华文楷体" panose="02010600040101010101" charset="-122"/>
              </a:rPr>
              <a:t>2016-2020</a:t>
            </a:r>
            <a:r>
              <a:rPr lang="zh-CN" altLang="en-US" sz="1050" b="0" i="0" u="none" strike="noStrike" baseline="0">
                <a:solidFill>
                  <a:srgbClr val="333333"/>
                </a:solidFill>
                <a:latin typeface="华文楷体" panose="02010600040101010101" charset="-122"/>
                <a:ea typeface="华文楷体" panose="02010600040101010101" charset="-122"/>
                <a:cs typeface="华文楷体" panose="02010600040101010101" charset="-122"/>
                <a:sym typeface="华文楷体" panose="02010600040101010101" charset="-122"/>
              </a:rPr>
              <a:t>年金融</a:t>
            </a:r>
            <a:r>
              <a:rPr lang="zh-CN" altLang="en-US" sz="1050" b="0" i="0" u="none" strike="noStrike" baseline="0">
                <a:solidFill>
                  <a:schemeClr val="tx1"/>
                </a:solidFill>
                <a:latin typeface="华文楷体" panose="02010600040101010101" charset="-122"/>
                <a:ea typeface="华文楷体" panose="02010600040101010101" charset="-122"/>
                <a:cs typeface="华文楷体" panose="02010600040101010101" charset="-122"/>
                <a:sym typeface="华文楷体" panose="02010600040101010101" charset="-122"/>
              </a:rPr>
              <a:t>机构</a:t>
            </a:r>
            <a:r>
              <a:rPr lang="zh-CN" altLang="en-US" sz="1050" b="0" i="0" u="none" strike="noStrike" baseline="0">
                <a:solidFill>
                  <a:srgbClr val="333333"/>
                </a:solidFill>
                <a:latin typeface="华文楷体" panose="02010600040101010101" charset="-122"/>
                <a:ea typeface="华文楷体" panose="02010600040101010101" charset="-122"/>
                <a:cs typeface="华文楷体" panose="02010600040101010101" charset="-122"/>
                <a:sym typeface="华文楷体" panose="02010600040101010101" charset="-122"/>
              </a:rPr>
              <a:t>数量及增速</a:t>
            </a:r>
            <a:endParaRPr lang="zh-CN" altLang="en-US" sz="1050" b="0" i="0" u="none" strike="noStrike" baseline="0">
              <a:solidFill>
                <a:srgbClr val="000000"/>
              </a:solidFill>
              <a:latin typeface="华文楷体" panose="02010600040101010101" charset="-122"/>
              <a:ea typeface="华文楷体" panose="02010600040101010101" charset="-122"/>
              <a:cs typeface="华文楷体" panose="02010600040101010101" charset="-122"/>
              <a:sym typeface="华文楷体" panose="02010600040101010101" charset="-122"/>
            </a:endParaRPr>
          </a:p>
        </c:rich>
      </c:tx>
      <c:layout/>
      <c:overlay val="false"/>
      <c:spPr>
        <a:noFill/>
        <a:ln>
          <a:noFill/>
        </a:ln>
        <a:effectLst/>
      </c:spPr>
    </c:title>
    <c:autoTitleDeleted val="false"/>
    <c:plotArea>
      <c:layout/>
      <c:barChart>
        <c:barDir val="col"/>
        <c:grouping val="clustered"/>
        <c:varyColors val="false"/>
        <c:ser>
          <c:idx val="0"/>
          <c:order val="0"/>
          <c:tx>
            <c:strRef>
              <c:f>金融机构.et!$A$49</c:f>
              <c:strCache>
                <c:ptCount val="1"/>
                <c:pt idx="0">
                  <c:v>证券机构数量</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金融机构.et!$B$48:$F$48</c:f>
              <c:strCache>
                <c:ptCount val="5"/>
                <c:pt idx="0">
                  <c:v>2016年</c:v>
                </c:pt>
                <c:pt idx="1">
                  <c:v>2017年</c:v>
                </c:pt>
                <c:pt idx="2">
                  <c:v>2018年</c:v>
                </c:pt>
                <c:pt idx="3">
                  <c:v>2019年</c:v>
                </c:pt>
                <c:pt idx="4">
                  <c:v>2020年</c:v>
                </c:pt>
              </c:strCache>
            </c:strRef>
          </c:cat>
          <c:val>
            <c:numRef>
              <c:f>金融机构.et!$B$49:$F$49</c:f>
              <c:numCache>
                <c:formatCode>General</c:formatCode>
                <c:ptCount val="5"/>
                <c:pt idx="0">
                  <c:v>11</c:v>
                </c:pt>
                <c:pt idx="1">
                  <c:v>13</c:v>
                </c:pt>
                <c:pt idx="2">
                  <c:v>13</c:v>
                </c:pt>
                <c:pt idx="3">
                  <c:v>13</c:v>
                </c:pt>
                <c:pt idx="4">
                  <c:v>14</c:v>
                </c:pt>
              </c:numCache>
            </c:numRef>
          </c:val>
        </c:ser>
        <c:ser>
          <c:idx val="2"/>
          <c:order val="2"/>
          <c:tx>
            <c:strRef>
              <c:f>金融机构.et!$A$51</c:f>
              <c:strCache>
                <c:ptCount val="1"/>
                <c:pt idx="0">
                  <c:v>保险机构数量</c:v>
                </c:pt>
              </c:strCache>
            </c:strRef>
          </c:tx>
          <c:spPr>
            <a:solidFill>
              <a:schemeClr val="accent6"/>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金融机构.et!$B$48:$F$48</c:f>
              <c:strCache>
                <c:ptCount val="5"/>
                <c:pt idx="0">
                  <c:v>2016年</c:v>
                </c:pt>
                <c:pt idx="1">
                  <c:v>2017年</c:v>
                </c:pt>
                <c:pt idx="2">
                  <c:v>2018年</c:v>
                </c:pt>
                <c:pt idx="3">
                  <c:v>2019年</c:v>
                </c:pt>
                <c:pt idx="4">
                  <c:v>2020年</c:v>
                </c:pt>
              </c:strCache>
            </c:strRef>
          </c:cat>
          <c:val>
            <c:numRef>
              <c:f>金融机构.et!$B$51:$F$51</c:f>
              <c:numCache>
                <c:formatCode>General</c:formatCode>
                <c:ptCount val="5"/>
                <c:pt idx="0">
                  <c:v>49</c:v>
                </c:pt>
                <c:pt idx="1">
                  <c:v>52</c:v>
                </c:pt>
                <c:pt idx="2">
                  <c:v>56</c:v>
                </c:pt>
                <c:pt idx="3">
                  <c:v>56</c:v>
                </c:pt>
                <c:pt idx="4">
                  <c:v>56</c:v>
                </c:pt>
              </c:numCache>
            </c:numRef>
          </c:val>
        </c:ser>
        <c:ser>
          <c:idx val="4"/>
          <c:order val="4"/>
          <c:tx>
            <c:strRef>
              <c:f>金融机构.et!$A$53</c:f>
              <c:strCache>
                <c:ptCount val="1"/>
                <c:pt idx="0">
                  <c:v>银行机构数量</c:v>
                </c:pt>
              </c:strCache>
            </c:strRef>
          </c:tx>
          <c:spPr>
            <a:solidFill>
              <a:schemeClr val="accent4">
                <a:lumMod val="60000"/>
              </a:schemeClr>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金融机构.et!$B$48:$F$48</c:f>
              <c:strCache>
                <c:ptCount val="5"/>
                <c:pt idx="0">
                  <c:v>2016年</c:v>
                </c:pt>
                <c:pt idx="1">
                  <c:v>2017年</c:v>
                </c:pt>
                <c:pt idx="2">
                  <c:v>2018年</c:v>
                </c:pt>
                <c:pt idx="3">
                  <c:v>2019年</c:v>
                </c:pt>
                <c:pt idx="4">
                  <c:v>2020年</c:v>
                </c:pt>
              </c:strCache>
            </c:strRef>
          </c:cat>
          <c:val>
            <c:numRef>
              <c:f>金融机构.et!$B$53:$F$53</c:f>
              <c:numCache>
                <c:formatCode>General</c:formatCode>
                <c:ptCount val="5"/>
                <c:pt idx="0">
                  <c:v>18</c:v>
                </c:pt>
                <c:pt idx="1">
                  <c:v>20</c:v>
                </c:pt>
                <c:pt idx="2">
                  <c:v>22</c:v>
                </c:pt>
                <c:pt idx="3">
                  <c:v>23</c:v>
                </c:pt>
                <c:pt idx="4">
                  <c:v>23</c:v>
                </c:pt>
              </c:numCache>
            </c:numRef>
          </c:val>
        </c:ser>
        <c:dLbls>
          <c:showLegendKey val="false"/>
          <c:showVal val="false"/>
          <c:showCatName val="false"/>
          <c:showSerName val="false"/>
          <c:showPercent val="false"/>
          <c:showBubbleSize val="false"/>
        </c:dLbls>
        <c:gapWidth val="219"/>
        <c:overlap val="-27"/>
        <c:axId val="249004208"/>
        <c:axId val="249004768"/>
      </c:barChart>
      <c:lineChart>
        <c:grouping val="standard"/>
        <c:varyColors val="false"/>
        <c:ser>
          <c:idx val="1"/>
          <c:order val="1"/>
          <c:tx>
            <c:strRef>
              <c:f>金融机构.et!$A$50</c:f>
              <c:strCache>
                <c:ptCount val="1"/>
                <c:pt idx="0">
                  <c:v>证券机构增速</c:v>
                </c:pt>
              </c:strCache>
            </c:strRef>
          </c:tx>
          <c:spPr>
            <a:ln w="19050" cap="rnd" cmpd="sng" algn="ctr">
              <a:solidFill>
                <a:schemeClr val="accent4"/>
              </a:solidFill>
              <a:prstDash val="solid"/>
              <a:round/>
            </a:ln>
            <a:effectLst/>
          </c:spPr>
          <c:marker>
            <c:symbol val="circle"/>
            <c:size val="5"/>
            <c:spPr>
              <a:solidFill>
                <a:schemeClr val="accent4"/>
              </a:solidFill>
              <a:ln w="6350" cap="flat" cmpd="sng" algn="ctr">
                <a:solidFill>
                  <a:schemeClr val="accent4"/>
                </a:solidFill>
                <a:prstDash val="solid"/>
                <a:round/>
              </a:ln>
              <a:effectLst/>
            </c:spPr>
          </c:marker>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金融机构.et!$B$48:$F$48</c:f>
              <c:strCache>
                <c:ptCount val="5"/>
                <c:pt idx="0">
                  <c:v>2016年</c:v>
                </c:pt>
                <c:pt idx="1">
                  <c:v>2017年</c:v>
                </c:pt>
                <c:pt idx="2">
                  <c:v>2018年</c:v>
                </c:pt>
                <c:pt idx="3">
                  <c:v>2019年</c:v>
                </c:pt>
                <c:pt idx="4">
                  <c:v>2020年</c:v>
                </c:pt>
              </c:strCache>
            </c:strRef>
          </c:cat>
          <c:val>
            <c:numRef>
              <c:f>金融机构.et!$B$50:$F$50</c:f>
              <c:numCache>
                <c:formatCode>0.0%</c:formatCode>
                <c:ptCount val="5"/>
                <c:pt idx="0">
                  <c:v>0.571</c:v>
                </c:pt>
                <c:pt idx="1">
                  <c:v>0.182</c:v>
                </c:pt>
                <c:pt idx="2">
                  <c:v>0</c:v>
                </c:pt>
                <c:pt idx="3">
                  <c:v>0</c:v>
                </c:pt>
                <c:pt idx="4">
                  <c:v>0.077</c:v>
                </c:pt>
              </c:numCache>
            </c:numRef>
          </c:val>
          <c:smooth val="false"/>
        </c:ser>
        <c:ser>
          <c:idx val="3"/>
          <c:order val="3"/>
          <c:tx>
            <c:strRef>
              <c:f>金融机构.et!$A$52</c:f>
              <c:strCache>
                <c:ptCount val="1"/>
                <c:pt idx="0">
                  <c:v>保险机构增速</c:v>
                </c:pt>
              </c:strCache>
            </c:strRef>
          </c:tx>
          <c:spPr>
            <a:ln w="19050" cap="rnd" cmpd="sng" algn="ctr">
              <a:solidFill>
                <a:schemeClr val="accent2">
                  <a:lumMod val="60000"/>
                </a:schemeClr>
              </a:solidFill>
              <a:prstDash val="solid"/>
              <a:round/>
            </a:ln>
            <a:effectLst/>
          </c:spPr>
          <c:marker>
            <c:symbol val="none"/>
          </c:marker>
          <c:dLbls>
            <c:dLbl>
              <c:idx val="2"/>
              <c:layout>
                <c:manualLayout>
                  <c:x val="0"/>
                  <c:y val="0.026143790849673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金融机构.et!$B$48:$F$48</c:f>
              <c:strCache>
                <c:ptCount val="5"/>
                <c:pt idx="0">
                  <c:v>2016年</c:v>
                </c:pt>
                <c:pt idx="1">
                  <c:v>2017年</c:v>
                </c:pt>
                <c:pt idx="2">
                  <c:v>2018年</c:v>
                </c:pt>
                <c:pt idx="3">
                  <c:v>2019年</c:v>
                </c:pt>
                <c:pt idx="4">
                  <c:v>2020年</c:v>
                </c:pt>
              </c:strCache>
            </c:strRef>
          </c:cat>
          <c:val>
            <c:numRef>
              <c:f>金融机构.et!$B$52:$F$52</c:f>
              <c:numCache>
                <c:formatCode>0.0%</c:formatCode>
                <c:ptCount val="5"/>
                <c:pt idx="0">
                  <c:v>0.14</c:v>
                </c:pt>
                <c:pt idx="1">
                  <c:v>0.061</c:v>
                </c:pt>
                <c:pt idx="2">
                  <c:v>0.077</c:v>
                </c:pt>
                <c:pt idx="3">
                  <c:v>0</c:v>
                </c:pt>
                <c:pt idx="4">
                  <c:v>0</c:v>
                </c:pt>
              </c:numCache>
            </c:numRef>
          </c:val>
          <c:smooth val="false"/>
        </c:ser>
        <c:ser>
          <c:idx val="5"/>
          <c:order val="5"/>
          <c:tx>
            <c:strRef>
              <c:f>金融机构.et!$A$54</c:f>
              <c:strCache>
                <c:ptCount val="1"/>
                <c:pt idx="0">
                  <c:v>银行机构增速</c:v>
                </c:pt>
              </c:strCache>
            </c:strRef>
          </c:tx>
          <c:spPr>
            <a:ln w="19050" cap="rnd" cmpd="sng" algn="ctr">
              <a:solidFill>
                <a:schemeClr val="accent6">
                  <a:lumMod val="60000"/>
                </a:schemeClr>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金融机构.et!$B$48:$F$48</c:f>
              <c:strCache>
                <c:ptCount val="5"/>
                <c:pt idx="0">
                  <c:v>2016年</c:v>
                </c:pt>
                <c:pt idx="1">
                  <c:v>2017年</c:v>
                </c:pt>
                <c:pt idx="2">
                  <c:v>2018年</c:v>
                </c:pt>
                <c:pt idx="3">
                  <c:v>2019年</c:v>
                </c:pt>
                <c:pt idx="4">
                  <c:v>2020年</c:v>
                </c:pt>
              </c:strCache>
            </c:strRef>
          </c:cat>
          <c:val>
            <c:numRef>
              <c:f>金融机构.et!$B$54:$F$54</c:f>
              <c:numCache>
                <c:formatCode>0.0%</c:formatCode>
                <c:ptCount val="5"/>
                <c:pt idx="0">
                  <c:v>0.059</c:v>
                </c:pt>
                <c:pt idx="1">
                  <c:v>0.111</c:v>
                </c:pt>
                <c:pt idx="2">
                  <c:v>0.1</c:v>
                </c:pt>
                <c:pt idx="3">
                  <c:v>0.045</c:v>
                </c:pt>
                <c:pt idx="4">
                  <c:v>0</c:v>
                </c:pt>
              </c:numCache>
            </c:numRef>
          </c:val>
          <c:smooth val="false"/>
        </c:ser>
        <c:dLbls>
          <c:showLegendKey val="false"/>
          <c:showVal val="false"/>
          <c:showCatName val="false"/>
          <c:showSerName val="false"/>
          <c:showPercent val="false"/>
          <c:showBubbleSize val="false"/>
        </c:dLbls>
        <c:marker val="true"/>
        <c:smooth val="false"/>
        <c:axId val="250615728"/>
        <c:axId val="250616288"/>
      </c:lineChart>
      <c:catAx>
        <c:axId val="249004208"/>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49004768"/>
        <c:crosses val="autoZero"/>
        <c:auto val="true"/>
        <c:lblAlgn val="ctr"/>
        <c:lblOffset val="100"/>
        <c:noMultiLvlLbl val="false"/>
      </c:catAx>
      <c:valAx>
        <c:axId val="24900476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49004208"/>
        <c:crosses val="autoZero"/>
        <c:crossBetween val="between"/>
      </c:valAx>
      <c:catAx>
        <c:axId val="250615728"/>
        <c:scaling>
          <c:orientation val="minMax"/>
        </c:scaling>
        <c:delete val="true"/>
        <c:axPos val="b"/>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50616288"/>
        <c:crosses val="autoZero"/>
        <c:auto val="true"/>
        <c:lblAlgn val="ctr"/>
        <c:lblOffset val="100"/>
        <c:noMultiLvlLbl val="false"/>
      </c:catAx>
      <c:valAx>
        <c:axId val="250616288"/>
        <c:scaling>
          <c:orientation val="minMax"/>
        </c:scaling>
        <c:delete val="false"/>
        <c:axPos val="r"/>
        <c:numFmt formatCode="0%" sourceLinked="false"/>
        <c:majorTickMark val="out"/>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0615728"/>
        <c:crosses val="max"/>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245fdea-09f2-4e1a-b41c-282b93347a15}"/>
        <w:style w:val=""/>
        <w:category>
          <w:name w:val="常规"/>
          <w:gallery w:val="placeholder"/>
        </w:category>
        <w:types>
          <w:type w:val="bbPlcHdr"/>
        </w:types>
        <w:behaviors>
          <w:behavior w:val="content"/>
        </w:behaviors>
        <w:description w:val=""/>
        <w:guid w:val="{5245fdea-09f2-4e1a-b41c-282b93347a15}"/>
      </w:docPartPr>
      <w:docPartBody>
        <w:p>
          <w:r>
            <w:rPr>
              <w:color w:val="808080"/>
            </w:rPr>
            <w:t>单击此处输入文字。</w:t>
          </w:r>
        </w:p>
      </w:docPartBody>
    </w:docPart>
    <w:docPart>
      <w:docPartPr>
        <w:name w:val="{addca61e-5c57-479e-9a23-2c2f1f7fb867}"/>
        <w:style w:val=""/>
        <w:category>
          <w:name w:val="常规"/>
          <w:gallery w:val="placeholder"/>
        </w:category>
        <w:types>
          <w:type w:val="bbPlcHdr"/>
        </w:types>
        <w:behaviors>
          <w:behavior w:val="content"/>
        </w:behaviors>
        <w:description w:val=""/>
        <w:guid w:val="{addca61e-5c57-479e-9a23-2c2f1f7fb867}"/>
      </w:docPartPr>
      <w:docPartBody>
        <w:p>
          <w:r>
            <w:rPr>
              <w:color w:val="808080"/>
            </w:rPr>
            <w:t>单击此处输入文字。</w:t>
          </w:r>
        </w:p>
      </w:docPartBody>
    </w:docPart>
    <w:docPart>
      <w:docPartPr>
        <w:name w:val="{467d08bb-86c3-42ff-9d96-fddb6fc4fc08}"/>
        <w:style w:val=""/>
        <w:category>
          <w:name w:val="常规"/>
          <w:gallery w:val="placeholder"/>
        </w:category>
        <w:types>
          <w:type w:val="bbPlcHdr"/>
        </w:types>
        <w:behaviors>
          <w:behavior w:val="content"/>
        </w:behaviors>
        <w:description w:val=""/>
        <w:guid w:val="{467d08bb-86c3-42ff-9d96-fddb6fc4fc08}"/>
      </w:docPartPr>
      <w:docPartBody>
        <w:p>
          <w:r>
            <w:rPr>
              <w:color w:val="808080"/>
            </w:rPr>
            <w:t>单击此处输入文字。</w:t>
          </w:r>
        </w:p>
      </w:docPartBody>
    </w:docPart>
    <w:docPart>
      <w:docPartPr>
        <w:name w:val="{66b7e53f-60fa-4be0-8b77-41c6c45d21da}"/>
        <w:style w:val=""/>
        <w:category>
          <w:name w:val="常规"/>
          <w:gallery w:val="placeholder"/>
        </w:category>
        <w:types>
          <w:type w:val="bbPlcHdr"/>
        </w:types>
        <w:behaviors>
          <w:behavior w:val="content"/>
        </w:behaviors>
        <w:description w:val=""/>
        <w:guid w:val="{66b7e53f-60fa-4be0-8b77-41c6c45d21da}"/>
      </w:docPartPr>
      <w:docPartBody>
        <w:p>
          <w:r>
            <w:rPr>
              <w:color w:val="808080"/>
            </w:rPr>
            <w:t>单击此处输入文字。</w:t>
          </w:r>
        </w:p>
      </w:docPartBody>
    </w:docPart>
    <w:docPart>
      <w:docPartPr>
        <w:name w:val="{2b7f1481-8460-4b40-afb7-c690eb7a07fc}"/>
        <w:style w:val=""/>
        <w:category>
          <w:name w:val="常规"/>
          <w:gallery w:val="placeholder"/>
        </w:category>
        <w:types>
          <w:type w:val="bbPlcHdr"/>
        </w:types>
        <w:behaviors>
          <w:behavior w:val="content"/>
        </w:behaviors>
        <w:description w:val=""/>
        <w:guid w:val="{2b7f1481-8460-4b40-afb7-c690eb7a07fc}"/>
      </w:docPartPr>
      <w:docPartBody>
        <w:p>
          <w:r>
            <w:rPr>
              <w:color w:val="808080"/>
            </w:rPr>
            <w:t>单击此处输入文字。</w:t>
          </w:r>
        </w:p>
      </w:docPartBody>
    </w:docPart>
    <w:docPart>
      <w:docPartPr>
        <w:name w:val="{a48aacfe-ed43-479f-96b3-d963d4496cba}"/>
        <w:style w:val=""/>
        <w:category>
          <w:name w:val="常规"/>
          <w:gallery w:val="placeholder"/>
        </w:category>
        <w:types>
          <w:type w:val="bbPlcHdr"/>
        </w:types>
        <w:behaviors>
          <w:behavior w:val="content"/>
        </w:behaviors>
        <w:description w:val=""/>
        <w:guid w:val="{a48aacfe-ed43-479f-96b3-d963d4496cba}"/>
      </w:docPartPr>
      <w:docPartBody>
        <w:p>
          <w:r>
            <w:rPr>
              <w:color w:val="808080"/>
            </w:rPr>
            <w:t>单击此处输入文字。</w:t>
          </w:r>
        </w:p>
      </w:docPartBody>
    </w:docPart>
    <w:docPart>
      <w:docPartPr>
        <w:name w:val="{c345734d-e1ce-417f-83e5-09485e48139b}"/>
        <w:style w:val=""/>
        <w:category>
          <w:name w:val="常规"/>
          <w:gallery w:val="placeholder"/>
        </w:category>
        <w:types>
          <w:type w:val="bbPlcHdr"/>
        </w:types>
        <w:behaviors>
          <w:behavior w:val="content"/>
        </w:behaviors>
        <w:description w:val=""/>
        <w:guid w:val="{c345734d-e1ce-417f-83e5-09485e48139b}"/>
      </w:docPartPr>
      <w:docPartBody>
        <w:p>
          <w:r>
            <w:rPr>
              <w:color w:val="808080"/>
            </w:rPr>
            <w:t>单击此处输入文字。</w:t>
          </w:r>
        </w:p>
      </w:docPartBody>
    </w:docPart>
    <w:docPart>
      <w:docPartPr>
        <w:name w:val="{2faad110-6656-4466-8aa4-8c16dd3df638}"/>
        <w:style w:val=""/>
        <w:category>
          <w:name w:val="常规"/>
          <w:gallery w:val="placeholder"/>
        </w:category>
        <w:types>
          <w:type w:val="bbPlcHdr"/>
        </w:types>
        <w:behaviors>
          <w:behavior w:val="content"/>
        </w:behaviors>
        <w:description w:val=""/>
        <w:guid w:val="{2faad110-6656-4466-8aa4-8c16dd3df638}"/>
      </w:docPartPr>
      <w:docPartBody>
        <w:p>
          <w:r>
            <w:rPr>
              <w:color w:val="808080"/>
            </w:rPr>
            <w:t>单击此处输入文字。</w:t>
          </w:r>
        </w:p>
      </w:docPartBody>
    </w:docPart>
    <w:docPart>
      <w:docPartPr>
        <w:name w:val="{81e5d9e7-bee0-41c6-8cba-b181a62a3912}"/>
        <w:style w:val=""/>
        <w:category>
          <w:name w:val="常规"/>
          <w:gallery w:val="placeholder"/>
        </w:category>
        <w:types>
          <w:type w:val="bbPlcHdr"/>
        </w:types>
        <w:behaviors>
          <w:behavior w:val="content"/>
        </w:behaviors>
        <w:description w:val=""/>
        <w:guid w:val="{81e5d9e7-bee0-41c6-8cba-b181a62a3912}"/>
      </w:docPartPr>
      <w:docPartBody>
        <w:p>
          <w:r>
            <w:rPr>
              <w:color w:val="808080"/>
            </w:rPr>
            <w:t>单击此处输入文字。</w:t>
          </w:r>
        </w:p>
      </w:docPartBody>
    </w:docPart>
    <w:docPart>
      <w:docPartPr>
        <w:name w:val="{15f06498-6f9e-4577-80f1-9636beefa6bc}"/>
        <w:style w:val=""/>
        <w:category>
          <w:name w:val="常规"/>
          <w:gallery w:val="placeholder"/>
        </w:category>
        <w:types>
          <w:type w:val="bbPlcHdr"/>
        </w:types>
        <w:behaviors>
          <w:behavior w:val="content"/>
        </w:behaviors>
        <w:description w:val=""/>
        <w:guid w:val="{15f06498-6f9e-4577-80f1-9636beefa6bc}"/>
      </w:docPartPr>
      <w:docPartBody>
        <w:p>
          <w:r>
            <w:rPr>
              <w:color w:val="808080"/>
            </w:rPr>
            <w:t>单击此处输入文字。</w:t>
          </w:r>
        </w:p>
      </w:docPartBody>
    </w:docPart>
    <w:docPart>
      <w:docPartPr>
        <w:name w:val="{fa6c45be-1b41-48b7-b62d-ea5a85819001}"/>
        <w:style w:val=""/>
        <w:category>
          <w:name w:val="常规"/>
          <w:gallery w:val="placeholder"/>
        </w:category>
        <w:types>
          <w:type w:val="bbPlcHdr"/>
        </w:types>
        <w:behaviors>
          <w:behavior w:val="content"/>
        </w:behaviors>
        <w:description w:val=""/>
        <w:guid w:val="{fa6c45be-1b41-48b7-b62d-ea5a85819001}"/>
      </w:docPartPr>
      <w:docPartBody>
        <w:p>
          <w:r>
            <w:rPr>
              <w:color w:val="808080"/>
            </w:rPr>
            <w:t>单击此处输入文字。</w:t>
          </w:r>
        </w:p>
      </w:docPartBody>
    </w:docPart>
    <w:docPart>
      <w:docPartPr>
        <w:name w:val="{f8b5fce0-cced-4d6f-a918-17a0928f77e9}"/>
        <w:style w:val=""/>
        <w:category>
          <w:name w:val="常规"/>
          <w:gallery w:val="placeholder"/>
        </w:category>
        <w:types>
          <w:type w:val="bbPlcHdr"/>
        </w:types>
        <w:behaviors>
          <w:behavior w:val="content"/>
        </w:behaviors>
        <w:description w:val=""/>
        <w:guid w:val="{f8b5fce0-cced-4d6f-a918-17a0928f77e9}"/>
      </w:docPartPr>
      <w:docPartBody>
        <w:p>
          <w:r>
            <w:rPr>
              <w:color w:val="808080"/>
            </w:rPr>
            <w:t>单击此处输入文字。</w:t>
          </w:r>
        </w:p>
      </w:docPartBody>
    </w:docPart>
    <w:docPart>
      <w:docPartPr>
        <w:name w:val="{a6e762c1-4b0c-49c3-afd5-63a79718145b}"/>
        <w:style w:val=""/>
        <w:category>
          <w:name w:val="常规"/>
          <w:gallery w:val="placeholder"/>
        </w:category>
        <w:types>
          <w:type w:val="bbPlcHdr"/>
        </w:types>
        <w:behaviors>
          <w:behavior w:val="content"/>
        </w:behaviors>
        <w:description w:val=""/>
        <w:guid w:val="{a6e762c1-4b0c-49c3-afd5-63a79718145b}"/>
      </w:docPartPr>
      <w:docPartBody>
        <w:p>
          <w:r>
            <w:rPr>
              <w:color w:val="808080"/>
            </w:rPr>
            <w:t>单击此处输入文字。</w:t>
          </w:r>
        </w:p>
      </w:docPartBody>
    </w:docPart>
    <w:docPart>
      <w:docPartPr>
        <w:name w:val="{7e5e956a-194b-4cda-add1-6fafa2015135}"/>
        <w:style w:val=""/>
        <w:category>
          <w:name w:val="常规"/>
          <w:gallery w:val="placeholder"/>
        </w:category>
        <w:types>
          <w:type w:val="bbPlcHdr"/>
        </w:types>
        <w:behaviors>
          <w:behavior w:val="content"/>
        </w:behaviors>
        <w:description w:val=""/>
        <w:guid w:val="{7e5e956a-194b-4cda-add1-6fafa2015135}"/>
      </w:docPartPr>
      <w:docPartBody>
        <w:p>
          <w:r>
            <w:rPr>
              <w:color w:val="808080"/>
            </w:rPr>
            <w:t>单击此处输入文字。</w:t>
          </w:r>
        </w:p>
      </w:docPartBody>
    </w:docPart>
    <w:docPart>
      <w:docPartPr>
        <w:name w:val="{61874f07-b853-4b0d-a765-4de0a7b0adf7}"/>
        <w:style w:val=""/>
        <w:category>
          <w:name w:val="常规"/>
          <w:gallery w:val="placeholder"/>
        </w:category>
        <w:types>
          <w:type w:val="bbPlcHdr"/>
        </w:types>
        <w:behaviors>
          <w:behavior w:val="content"/>
        </w:behaviors>
        <w:description w:val=""/>
        <w:guid w:val="{61874f07-b853-4b0d-a765-4de0a7b0adf7}"/>
      </w:docPartPr>
      <w:docPartBody>
        <w:p>
          <w:r>
            <w:rPr>
              <w:color w:val="808080"/>
            </w:rPr>
            <w:t>单击此处输入文字。</w:t>
          </w:r>
        </w:p>
      </w:docPartBody>
    </w:docPart>
    <w:docPart>
      <w:docPartPr>
        <w:name w:val="{9c3a2b2c-4c71-435f-894a-487c9042f4cb}"/>
        <w:style w:val=""/>
        <w:category>
          <w:name w:val="常规"/>
          <w:gallery w:val="placeholder"/>
        </w:category>
        <w:types>
          <w:type w:val="bbPlcHdr"/>
        </w:types>
        <w:behaviors>
          <w:behavior w:val="content"/>
        </w:behaviors>
        <w:description w:val=""/>
        <w:guid w:val="{9c3a2b2c-4c71-435f-894a-487c9042f4cb}"/>
      </w:docPartPr>
      <w:docPartBody>
        <w:p>
          <w:r>
            <w:rPr>
              <w:color w:val="808080"/>
            </w:rPr>
            <w:t>单击此处输入文字。</w:t>
          </w:r>
        </w:p>
      </w:docPartBody>
    </w:docPart>
    <w:docPart>
      <w:docPartPr>
        <w:name w:val="{c4cb4cf9-8f5d-411b-aad9-57703676dfca}"/>
        <w:style w:val=""/>
        <w:category>
          <w:name w:val="常规"/>
          <w:gallery w:val="placeholder"/>
        </w:category>
        <w:types>
          <w:type w:val="bbPlcHdr"/>
        </w:types>
        <w:behaviors>
          <w:behavior w:val="content"/>
        </w:behaviors>
        <w:description w:val=""/>
        <w:guid w:val="{c4cb4cf9-8f5d-411b-aad9-57703676dfca}"/>
      </w:docPartPr>
      <w:docPartBody>
        <w:p>
          <w:r>
            <w:rPr>
              <w:color w:val="808080"/>
            </w:rPr>
            <w:t>单击此处输入文字。</w:t>
          </w:r>
        </w:p>
      </w:docPartBody>
    </w:docPart>
    <w:docPart>
      <w:docPartPr>
        <w:name w:val="{8f4c342e-507d-4628-9dbd-2ea8130424ed}"/>
        <w:style w:val=""/>
        <w:category>
          <w:name w:val="常规"/>
          <w:gallery w:val="placeholder"/>
        </w:category>
        <w:types>
          <w:type w:val="bbPlcHdr"/>
        </w:types>
        <w:behaviors>
          <w:behavior w:val="content"/>
        </w:behaviors>
        <w:description w:val=""/>
        <w:guid w:val="{8f4c342e-507d-4628-9dbd-2ea8130424ed}"/>
      </w:docPartPr>
      <w:docPartBody>
        <w:p>
          <w:r>
            <w:rPr>
              <w:color w:val="808080"/>
            </w:rPr>
            <w:t>单击此处输入文字。</w:t>
          </w:r>
        </w:p>
      </w:docPartBody>
    </w:docPart>
    <w:docPart>
      <w:docPartPr>
        <w:name w:val="{5e4131b1-7ded-4a4b-a4de-3c35634c7ef9}"/>
        <w:style w:val=""/>
        <w:category>
          <w:name w:val="常规"/>
          <w:gallery w:val="placeholder"/>
        </w:category>
        <w:types>
          <w:type w:val="bbPlcHdr"/>
        </w:types>
        <w:behaviors>
          <w:behavior w:val="content"/>
        </w:behaviors>
        <w:description w:val=""/>
        <w:guid w:val="{5e4131b1-7ded-4a4b-a4de-3c35634c7ef9}"/>
      </w:docPartPr>
      <w:docPartBody>
        <w:p>
          <w:r>
            <w:rPr>
              <w:color w:val="808080"/>
            </w:rPr>
            <w:t>单击此处输入文字。</w:t>
          </w:r>
        </w:p>
      </w:docPartBody>
    </w:docPart>
    <w:docPart>
      <w:docPartPr>
        <w:name w:val="{e955b151-3476-4fda-af5c-4470e00f07b0}"/>
        <w:style w:val=""/>
        <w:category>
          <w:name w:val="常规"/>
          <w:gallery w:val="placeholder"/>
        </w:category>
        <w:types>
          <w:type w:val="bbPlcHdr"/>
        </w:types>
        <w:behaviors>
          <w:behavior w:val="content"/>
        </w:behaviors>
        <w:description w:val=""/>
        <w:guid w:val="{e955b151-3476-4fda-af5c-4470e00f07b0}"/>
      </w:docPartPr>
      <w:docPartBody>
        <w:p>
          <w:r>
            <w:rPr>
              <w:color w:val="808080"/>
            </w:rPr>
            <w:t>单击此处输入文字。</w:t>
          </w:r>
        </w:p>
      </w:docPartBody>
    </w:docPart>
    <w:docPart>
      <w:docPartPr>
        <w:name w:val="{a3ad0d62-5427-4879-a909-a30667f356b9}"/>
        <w:style w:val=""/>
        <w:category>
          <w:name w:val="常规"/>
          <w:gallery w:val="placeholder"/>
        </w:category>
        <w:types>
          <w:type w:val="bbPlcHdr"/>
        </w:types>
        <w:behaviors>
          <w:behavior w:val="content"/>
        </w:behaviors>
        <w:description w:val=""/>
        <w:guid w:val="{a3ad0d62-5427-4879-a909-a30667f356b9}"/>
      </w:docPartPr>
      <w:docPartBody>
        <w:p>
          <w:r>
            <w:rPr>
              <w:color w:val="808080"/>
            </w:rPr>
            <w:t>单击此处输入文字。</w:t>
          </w:r>
        </w:p>
      </w:docPartBody>
    </w:docPart>
    <w:docPart>
      <w:docPartPr>
        <w:name w:val="{c1ecf2f9-8a2c-4ea1-85ac-28cda2c9ec97}"/>
        <w:style w:val=""/>
        <w:category>
          <w:name w:val="常规"/>
          <w:gallery w:val="placeholder"/>
        </w:category>
        <w:types>
          <w:type w:val="bbPlcHdr"/>
        </w:types>
        <w:behaviors>
          <w:behavior w:val="content"/>
        </w:behaviors>
        <w:description w:val=""/>
        <w:guid w:val="{c1ecf2f9-8a2c-4ea1-85ac-28cda2c9ec97}"/>
      </w:docPartPr>
      <w:docPartBody>
        <w:p>
          <w:r>
            <w:rPr>
              <w:color w:val="808080"/>
            </w:rPr>
            <w:t>单击此处输入文字。</w:t>
          </w:r>
        </w:p>
      </w:docPartBody>
    </w:docPart>
    <w:docPart>
      <w:docPartPr>
        <w:name w:val="{5634981f-5e59-495d-900e-0a404d1fb60c}"/>
        <w:style w:val=""/>
        <w:category>
          <w:name w:val="常规"/>
          <w:gallery w:val="placeholder"/>
        </w:category>
        <w:types>
          <w:type w:val="bbPlcHdr"/>
        </w:types>
        <w:behaviors>
          <w:behavior w:val="content"/>
        </w:behaviors>
        <w:description w:val=""/>
        <w:guid w:val="{5634981f-5e59-495d-900e-0a404d1fb60c}"/>
      </w:docPartPr>
      <w:docPartBody>
        <w:p>
          <w:r>
            <w:rPr>
              <w:color w:val="808080"/>
            </w:rPr>
            <w:t>单击此处输入文字。</w:t>
          </w:r>
        </w:p>
      </w:docPartBody>
    </w:docPart>
    <w:docPart>
      <w:docPartPr>
        <w:name w:val="{04936ea5-c2ef-443d-b14e-32b3c8f4eae4}"/>
        <w:style w:val=""/>
        <w:category>
          <w:name w:val="常规"/>
          <w:gallery w:val="placeholder"/>
        </w:category>
        <w:types>
          <w:type w:val="bbPlcHdr"/>
        </w:types>
        <w:behaviors>
          <w:behavior w:val="content"/>
        </w:behaviors>
        <w:description w:val=""/>
        <w:guid w:val="{04936ea5-c2ef-443d-b14e-32b3c8f4eae4}"/>
      </w:docPartPr>
      <w:docPartBody>
        <w:p>
          <w:r>
            <w:rPr>
              <w:color w:val="808080"/>
            </w:rPr>
            <w:t>单击此处输入文字。</w:t>
          </w:r>
        </w:p>
      </w:docPartBody>
    </w:docPart>
    <w:docPart>
      <w:docPartPr>
        <w:name w:val="{9378617f-33d2-4a9e-b447-c2d101697e32}"/>
        <w:style w:val=""/>
        <w:category>
          <w:name w:val="常规"/>
          <w:gallery w:val="placeholder"/>
        </w:category>
        <w:types>
          <w:type w:val="bbPlcHdr"/>
        </w:types>
        <w:behaviors>
          <w:behavior w:val="content"/>
        </w:behaviors>
        <w:description w:val=""/>
        <w:guid w:val="{9378617f-33d2-4a9e-b447-c2d101697e32}"/>
      </w:docPartPr>
      <w:docPartBody>
        <w:p>
          <w:r>
            <w:rPr>
              <w:color w:val="808080"/>
            </w:rPr>
            <w:t>单击此处输入文字。</w:t>
          </w:r>
        </w:p>
      </w:docPartBody>
    </w:docPart>
    <w:docPart>
      <w:docPartPr>
        <w:name w:val="{4dd62f95-36e9-4bc4-8d45-4ab37d70ae1c}"/>
        <w:style w:val=""/>
        <w:category>
          <w:name w:val="常规"/>
          <w:gallery w:val="placeholder"/>
        </w:category>
        <w:types>
          <w:type w:val="bbPlcHdr"/>
        </w:types>
        <w:behaviors>
          <w:behavior w:val="content"/>
        </w:behaviors>
        <w:description w:val=""/>
        <w:guid w:val="{4dd62f95-36e9-4bc4-8d45-4ab37d70ae1c}"/>
      </w:docPartPr>
      <w:docPartBody>
        <w:p>
          <w:r>
            <w:rPr>
              <w:color w:val="808080"/>
            </w:rPr>
            <w:t>单击此处输入文字。</w:t>
          </w:r>
        </w:p>
      </w:docPartBody>
    </w:docPart>
    <w:docPart>
      <w:docPartPr>
        <w:name w:val="{a6cab34c-232c-48cd-a56c-a15107e0cd6b}"/>
        <w:style w:val=""/>
        <w:category>
          <w:name w:val="常规"/>
          <w:gallery w:val="placeholder"/>
        </w:category>
        <w:types>
          <w:type w:val="bbPlcHdr"/>
        </w:types>
        <w:behaviors>
          <w:behavior w:val="content"/>
        </w:behaviors>
        <w:description w:val=""/>
        <w:guid w:val="{a6cab34c-232c-48cd-a56c-a15107e0cd6b}"/>
      </w:docPartPr>
      <w:docPartBody>
        <w:p>
          <w:r>
            <w:rPr>
              <w:color w:val="808080"/>
            </w:rPr>
            <w:t>单击此处输入文字。</w:t>
          </w:r>
        </w:p>
      </w:docPartBody>
    </w:docPart>
    <w:docPart>
      <w:docPartPr>
        <w:name w:val="{1d07879a-a1f0-4583-86ce-e06f1818d4b5}"/>
        <w:style w:val=""/>
        <w:category>
          <w:name w:val="常规"/>
          <w:gallery w:val="placeholder"/>
        </w:category>
        <w:types>
          <w:type w:val="bbPlcHdr"/>
        </w:types>
        <w:behaviors>
          <w:behavior w:val="content"/>
        </w:behaviors>
        <w:description w:val=""/>
        <w:guid w:val="{1d07879a-a1f0-4583-86ce-e06f1818d4b5}"/>
      </w:docPartPr>
      <w:docPartBody>
        <w:p>
          <w:r>
            <w:rPr>
              <w:color w:val="808080"/>
            </w:rPr>
            <w:t>单击此处输入文字。</w:t>
          </w:r>
        </w:p>
      </w:docPartBody>
    </w:docPart>
    <w:docPart>
      <w:docPartPr>
        <w:name w:val="{35c7225b-5310-4290-a14a-12a836cd1077}"/>
        <w:style w:val=""/>
        <w:category>
          <w:name w:val="常规"/>
          <w:gallery w:val="placeholder"/>
        </w:category>
        <w:types>
          <w:type w:val="bbPlcHdr"/>
        </w:types>
        <w:behaviors>
          <w:behavior w:val="content"/>
        </w:behaviors>
        <w:description w:val=""/>
        <w:guid w:val="{35c7225b-5310-4290-a14a-12a836cd107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等线">
    <w:altName w:val="华文仿宋"/>
    <w:panose1 w:val="00000000000000000000"/>
    <w:charset w:val="86"/>
    <w:family w:val="auto"/>
    <w:pitch w:val="default"/>
    <w:sig w:usb0="00000000" w:usb1="00000000" w:usb2="00000000" w:usb3="00000000" w:csb0="00000000"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华文仿宋">
    <w:panose1 w:val="02010600040101010101"/>
    <w:charset w:val="86"/>
    <w:family w:val="auto"/>
    <w:pitch w:val="default"/>
    <w:sig w:usb0="00000287" w:usb1="080F0000" w:usb2="00000000" w:usb3="00000000" w:csb0="0004009F" w:csb1="DFD70000"/>
  </w:font>
  <w:font w:name="URW Bookman">
    <w:panose1 w:val="00000400000000000000"/>
    <w:charset w:val="00"/>
    <w:family w:val="auto"/>
    <w:pitch w:val="default"/>
    <w:sig w:usb0="00000287" w:usb1="00000800" w:usb2="00000000" w:usb3="00000000" w:csb0="6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3374</Words>
  <Characters>19237</Characters>
  <Lines>160</Lines>
  <Paragraphs>45</Paragraphs>
  <TotalTime>20</TotalTime>
  <ScaleCrop>false</ScaleCrop>
  <LinksUpToDate>false</LinksUpToDate>
  <CharactersWithSpaces>22566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2021-07-23T22:14:00Z</dcterms:created>
  <dc:creator>wrx</dc:creator>
  <cp:lastModifiedBy>user</cp:lastModifiedBy>
  <cp:lastPrinted>2022-03-04T18:45:00Z</cp:lastPrinted>
  <dcterms:modified xsi:type="dcterms:W3CDTF">2022-03-11T16:54:09Z</dcterms:modified>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E48439AA2C334A46A456BD5C8CD2CE0E</vt:lpwstr>
  </property>
</Properties>
</file>